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7BCAC" w14:textId="77777777" w:rsidR="00C64B1B" w:rsidRPr="00DE4DC0" w:rsidRDefault="00C64B1B" w:rsidP="00C64B1B">
      <w:pPr>
        <w:jc w:val="center"/>
        <w:rPr>
          <w:rFonts w:asciiTheme="minorHAnsi" w:hAnsiTheme="minorHAnsi" w:cstheme="minorHAnsi"/>
        </w:rPr>
      </w:pPr>
    </w:p>
    <w:p w14:paraId="1F46E9C0" w14:textId="22723E18" w:rsidR="005A0324" w:rsidRPr="00DE4DC0" w:rsidRDefault="00255F28" w:rsidP="00E751CA">
      <w:pPr>
        <w:rPr>
          <w:rFonts w:asciiTheme="minorHAnsi" w:hAnsiTheme="minorHAnsi" w:cstheme="minorHAnsi"/>
        </w:rPr>
      </w:pPr>
      <w:r w:rsidRPr="00DE4DC0">
        <w:rPr>
          <w:rFonts w:asciiTheme="minorHAnsi" w:hAnsiTheme="minorHAnsi" w:cstheme="minorHAnsi"/>
        </w:rPr>
        <w:t>Narodowy Instytut Dziedzictwa</w:t>
      </w:r>
    </w:p>
    <w:p w14:paraId="33E25D9F" w14:textId="77777777" w:rsidR="0017551B" w:rsidRPr="00DE4DC0" w:rsidRDefault="0017551B" w:rsidP="00E751CA">
      <w:pPr>
        <w:rPr>
          <w:rFonts w:asciiTheme="minorHAnsi" w:hAnsiTheme="minorHAnsi" w:cstheme="minorHAnsi"/>
        </w:rPr>
      </w:pPr>
      <w:r w:rsidRPr="00DE4DC0">
        <w:rPr>
          <w:rFonts w:asciiTheme="minorHAnsi" w:hAnsiTheme="minorHAnsi" w:cstheme="minorHAnsi"/>
        </w:rPr>
        <w:t>ul. M. Kopernika 36/40</w:t>
      </w:r>
    </w:p>
    <w:p w14:paraId="5889A5EA" w14:textId="10E4C83C" w:rsidR="00E751CA" w:rsidRPr="00DE4DC0" w:rsidRDefault="0017551B" w:rsidP="00E751CA">
      <w:pPr>
        <w:rPr>
          <w:rFonts w:asciiTheme="minorHAnsi" w:hAnsiTheme="minorHAnsi" w:cstheme="minorHAnsi"/>
        </w:rPr>
      </w:pPr>
      <w:r w:rsidRPr="00DE4DC0">
        <w:rPr>
          <w:rFonts w:asciiTheme="minorHAnsi" w:hAnsiTheme="minorHAnsi" w:cstheme="minorHAnsi"/>
        </w:rPr>
        <w:t>00-924 Warszawa</w:t>
      </w:r>
    </w:p>
    <w:p w14:paraId="23A3507F" w14:textId="77777777" w:rsidR="0017551B" w:rsidRPr="00DE4DC0" w:rsidRDefault="0017551B" w:rsidP="00E751CA">
      <w:pPr>
        <w:rPr>
          <w:rFonts w:asciiTheme="minorHAnsi" w:hAnsiTheme="minorHAnsi" w:cstheme="minorHAnsi"/>
        </w:rPr>
      </w:pPr>
    </w:p>
    <w:p w14:paraId="6A3B263F" w14:textId="67618661" w:rsidR="0017551B" w:rsidRPr="00DE4DC0" w:rsidRDefault="0017551B" w:rsidP="00E751CA">
      <w:pPr>
        <w:rPr>
          <w:rFonts w:asciiTheme="minorHAnsi" w:hAnsiTheme="minorHAnsi" w:cstheme="minorHAnsi"/>
        </w:rPr>
      </w:pPr>
      <w:r w:rsidRPr="00DE4DC0">
        <w:rPr>
          <w:rFonts w:asciiTheme="minorHAnsi" w:hAnsiTheme="minorHAnsi" w:cstheme="minorHAnsi"/>
        </w:rPr>
        <w:t>Karol Czajkowski</w:t>
      </w:r>
    </w:p>
    <w:p w14:paraId="2D11FCF6" w14:textId="5191F29F" w:rsidR="0017551B" w:rsidRPr="00DE4DC0" w:rsidRDefault="00DB6D44" w:rsidP="00E751CA">
      <w:pPr>
        <w:rPr>
          <w:rFonts w:asciiTheme="minorHAnsi" w:hAnsiTheme="minorHAnsi" w:cstheme="minorHAnsi"/>
        </w:rPr>
      </w:pPr>
      <w:r w:rsidRPr="00DE4DC0">
        <w:rPr>
          <w:rFonts w:asciiTheme="minorHAnsi" w:hAnsiTheme="minorHAnsi" w:cstheme="minorHAnsi"/>
        </w:rPr>
        <w:t>Zastępca Dyrektora</w:t>
      </w:r>
      <w:r w:rsidRPr="00DE4DC0">
        <w:rPr>
          <w:rFonts w:asciiTheme="minorHAnsi" w:hAnsiTheme="minorHAnsi" w:cstheme="minorHAnsi"/>
        </w:rPr>
        <w:br/>
        <w:t>Narodowego Instytutu Dziedzictwa</w:t>
      </w:r>
    </w:p>
    <w:p w14:paraId="023BCE61" w14:textId="77777777" w:rsidR="00DB6D44" w:rsidRPr="00DE4DC0" w:rsidRDefault="00DB6D44" w:rsidP="00E751CA">
      <w:pPr>
        <w:rPr>
          <w:rFonts w:asciiTheme="minorHAnsi" w:hAnsiTheme="minorHAnsi" w:cstheme="minorHAnsi"/>
        </w:rPr>
      </w:pPr>
    </w:p>
    <w:p w14:paraId="52E35B7F" w14:textId="77777777" w:rsidR="002E44E1" w:rsidRPr="00DE4DC0" w:rsidRDefault="002E44E1" w:rsidP="00A95044">
      <w:pPr>
        <w:rPr>
          <w:rFonts w:asciiTheme="minorHAnsi" w:hAnsiTheme="minorHAnsi" w:cstheme="minorHAnsi"/>
        </w:rPr>
      </w:pPr>
    </w:p>
    <w:p w14:paraId="57510DD2" w14:textId="6B62D34D" w:rsidR="0086305C" w:rsidRDefault="00F014F7" w:rsidP="0086305C">
      <w:pPr>
        <w:rPr>
          <w:rFonts w:asciiTheme="minorHAnsi" w:hAnsiTheme="minorHAnsi" w:cstheme="minorHAnsi"/>
        </w:rPr>
      </w:pPr>
      <w:r w:rsidRPr="00DE4DC0">
        <w:rPr>
          <w:rFonts w:asciiTheme="minorHAnsi" w:hAnsiTheme="minorHAnsi" w:cstheme="minorHAnsi"/>
        </w:rPr>
        <w:t>Odniesienia do uwag</w:t>
      </w:r>
      <w:r w:rsidR="0086305C" w:rsidRPr="00DE4DC0">
        <w:rPr>
          <w:rFonts w:asciiTheme="minorHAnsi" w:hAnsiTheme="minorHAnsi" w:cstheme="minorHAnsi"/>
        </w:rPr>
        <w:t xml:space="preserve"> otrzyman</w:t>
      </w:r>
      <w:r w:rsidRPr="00DE4DC0">
        <w:rPr>
          <w:rFonts w:asciiTheme="minorHAnsi" w:hAnsiTheme="minorHAnsi" w:cstheme="minorHAnsi"/>
        </w:rPr>
        <w:t>ych</w:t>
      </w:r>
      <w:r w:rsidR="0086305C" w:rsidRPr="00DE4DC0">
        <w:rPr>
          <w:rFonts w:asciiTheme="minorHAnsi" w:hAnsiTheme="minorHAnsi" w:cstheme="minorHAnsi"/>
        </w:rPr>
        <w:t xml:space="preserve"> </w:t>
      </w:r>
      <w:r w:rsidR="00DE4DC0" w:rsidRPr="00DE4DC0">
        <w:rPr>
          <w:rFonts w:asciiTheme="minorHAnsi" w:hAnsiTheme="minorHAnsi" w:cstheme="minorHAnsi"/>
        </w:rPr>
        <w:t>w ramach oceny</w:t>
      </w:r>
      <w:r w:rsidR="0086305C" w:rsidRPr="00DE4DC0">
        <w:rPr>
          <w:rFonts w:asciiTheme="minorHAnsi" w:hAnsiTheme="minorHAnsi" w:cstheme="minorHAnsi"/>
        </w:rPr>
        <w:t xml:space="preserve"> Opisu Założeń Projektu Informatycznego Narodowego Instytutu Dziedzictwa pn.: Digitalizacja i udostępnianie trójwymiarowych zasobów </w:t>
      </w:r>
      <w:r w:rsidR="0086305C" w:rsidRPr="00A95044">
        <w:rPr>
          <w:rFonts w:asciiTheme="minorHAnsi" w:hAnsiTheme="minorHAnsi" w:cstheme="minorHAnsi"/>
        </w:rPr>
        <w:t>dziedzictwa architektonicznego i archeologicznego oraz budowa</w:t>
      </w:r>
      <w:r w:rsidR="0086305C" w:rsidRPr="00DE4DC0">
        <w:rPr>
          <w:rFonts w:asciiTheme="minorHAnsi" w:hAnsiTheme="minorHAnsi" w:cstheme="minorHAnsi"/>
        </w:rPr>
        <w:t xml:space="preserve"> Platformy Danych Przestrzennych o Zabytkach</w:t>
      </w:r>
      <w:r w:rsidR="00DE4DC0">
        <w:rPr>
          <w:rFonts w:asciiTheme="minorHAnsi" w:hAnsiTheme="minorHAnsi" w:cstheme="minorHAnsi"/>
        </w:rPr>
        <w:t>.</w:t>
      </w:r>
    </w:p>
    <w:p w14:paraId="4896972A" w14:textId="77777777" w:rsidR="00DE4DC0" w:rsidRDefault="00DE4DC0" w:rsidP="0086305C">
      <w:pPr>
        <w:rPr>
          <w:rFonts w:asciiTheme="minorHAnsi" w:hAnsiTheme="minorHAnsi" w:cstheme="minorHAnsi"/>
        </w:rPr>
      </w:pPr>
    </w:p>
    <w:p w14:paraId="1CE73482" w14:textId="1963189A" w:rsidR="00DE4DC0" w:rsidRPr="00DE4DC0" w:rsidRDefault="00DE4DC0" w:rsidP="0086305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Prezentowany dokument</w:t>
      </w:r>
      <w:r w:rsidR="009E57BE">
        <w:rPr>
          <w:rFonts w:asciiTheme="minorHAnsi" w:hAnsiTheme="minorHAnsi" w:cstheme="minorHAnsi"/>
        </w:rPr>
        <w:t xml:space="preserve"> przedstawia</w:t>
      </w:r>
      <w:r w:rsidR="00BD1864">
        <w:rPr>
          <w:rFonts w:asciiTheme="minorHAnsi" w:hAnsiTheme="minorHAnsi" w:cstheme="minorHAnsi"/>
        </w:rPr>
        <w:t xml:space="preserve"> wszystkie</w:t>
      </w:r>
      <w:r w:rsidR="00356F23">
        <w:rPr>
          <w:rFonts w:asciiTheme="minorHAnsi" w:hAnsiTheme="minorHAnsi" w:cstheme="minorHAnsi"/>
        </w:rPr>
        <w:t>,</w:t>
      </w:r>
      <w:r w:rsidR="00BD1864">
        <w:rPr>
          <w:rFonts w:asciiTheme="minorHAnsi" w:hAnsiTheme="minorHAnsi" w:cstheme="minorHAnsi"/>
        </w:rPr>
        <w:t xml:space="preserve"> otrzymane w procesie</w:t>
      </w:r>
      <w:r w:rsidR="00356F23">
        <w:rPr>
          <w:rFonts w:asciiTheme="minorHAnsi" w:hAnsiTheme="minorHAnsi" w:cstheme="minorHAnsi"/>
        </w:rPr>
        <w:t xml:space="preserve"> konsultacji, </w:t>
      </w:r>
      <w:r w:rsidR="00AA4872">
        <w:rPr>
          <w:rFonts w:asciiTheme="minorHAnsi" w:hAnsiTheme="minorHAnsi" w:cstheme="minorHAnsi"/>
        </w:rPr>
        <w:t>uwagi</w:t>
      </w:r>
      <w:r w:rsidR="008C3EED">
        <w:rPr>
          <w:rFonts w:asciiTheme="minorHAnsi" w:hAnsiTheme="minorHAnsi" w:cstheme="minorHAnsi"/>
        </w:rPr>
        <w:t xml:space="preserve"> odnoszące się do projektu NID</w:t>
      </w:r>
      <w:r w:rsidR="00BD1864">
        <w:rPr>
          <w:rFonts w:asciiTheme="minorHAnsi" w:hAnsiTheme="minorHAnsi" w:cstheme="minorHAnsi"/>
        </w:rPr>
        <w:t xml:space="preserve"> wraz </w:t>
      </w:r>
      <w:r w:rsidR="00356F23">
        <w:rPr>
          <w:rFonts w:asciiTheme="minorHAnsi" w:hAnsiTheme="minorHAnsi" w:cstheme="minorHAnsi"/>
        </w:rPr>
        <w:t>z odniesieniem autorów projektu.</w:t>
      </w:r>
    </w:p>
    <w:p w14:paraId="5E84EF98" w14:textId="5B8C0954" w:rsidR="00AE7E70" w:rsidRPr="00DE4DC0" w:rsidRDefault="00AE7E70" w:rsidP="00A95044">
      <w:pPr>
        <w:rPr>
          <w:rFonts w:asciiTheme="minorHAnsi" w:hAnsiTheme="minorHAnsi" w:cstheme="minorHAnsi"/>
        </w:rPr>
      </w:pPr>
    </w:p>
    <w:p w14:paraId="036029B2" w14:textId="77777777" w:rsidR="002E44E1" w:rsidRPr="00DE4DC0" w:rsidRDefault="002E44E1" w:rsidP="00A95044">
      <w:pPr>
        <w:rPr>
          <w:rFonts w:asciiTheme="minorHAnsi" w:hAnsiTheme="minorHAnsi" w:cstheme="minorHAnsi"/>
        </w:rPr>
      </w:pPr>
    </w:p>
    <w:p w14:paraId="79E5123A" w14:textId="77777777" w:rsidR="00A95044" w:rsidRPr="00DE4DC0" w:rsidRDefault="00A95044" w:rsidP="00A95044">
      <w:pPr>
        <w:rPr>
          <w:rFonts w:asciiTheme="minorHAnsi" w:hAnsiTheme="minorHAnsi" w:cstheme="minorHAnsi"/>
        </w:rPr>
      </w:pPr>
    </w:p>
    <w:p w14:paraId="74087248" w14:textId="77777777" w:rsidR="00473EC2" w:rsidRPr="00473EC2" w:rsidRDefault="00DE4DC0" w:rsidP="00AE7E70">
      <w:pPr>
        <w:rPr>
          <w:rFonts w:asciiTheme="minorHAnsi" w:hAnsiTheme="minorHAnsi" w:cstheme="minorHAnsi"/>
          <w:b/>
          <w:bCs/>
        </w:rPr>
      </w:pPr>
      <w:r w:rsidRPr="00473EC2">
        <w:rPr>
          <w:rFonts w:asciiTheme="minorHAnsi" w:hAnsiTheme="minorHAnsi" w:cstheme="minorHAnsi"/>
          <w:b/>
          <w:bCs/>
        </w:rPr>
        <w:t>Zestaw 1:</w:t>
      </w:r>
    </w:p>
    <w:p w14:paraId="4EA2DC5C" w14:textId="4C3A4F7E" w:rsidR="00871D6D" w:rsidRPr="00473EC2" w:rsidRDefault="00871D6D" w:rsidP="00AE7E70">
      <w:pPr>
        <w:rPr>
          <w:rFonts w:asciiTheme="minorHAnsi" w:hAnsiTheme="minorHAnsi" w:cstheme="minorHAnsi"/>
          <w:b/>
          <w:bCs/>
        </w:rPr>
      </w:pPr>
      <w:r w:rsidRPr="00473EC2">
        <w:rPr>
          <w:rFonts w:asciiTheme="minorHAnsi" w:hAnsiTheme="minorHAnsi" w:cstheme="minorHAnsi"/>
          <w:b/>
          <w:bCs/>
        </w:rPr>
        <w:t xml:space="preserve">Odniesienie do uwag przekazanych </w:t>
      </w:r>
      <w:r w:rsidR="001A63BC" w:rsidRPr="00473EC2">
        <w:rPr>
          <w:rFonts w:asciiTheme="minorHAnsi" w:hAnsiTheme="minorHAnsi" w:cstheme="minorHAnsi"/>
          <w:b/>
          <w:bCs/>
        </w:rPr>
        <w:t xml:space="preserve">w załączeniu do pisma </w:t>
      </w:r>
      <w:r w:rsidR="002268CF" w:rsidRPr="00473EC2">
        <w:rPr>
          <w:rFonts w:asciiTheme="minorHAnsi" w:hAnsiTheme="minorHAnsi" w:cstheme="minorHAnsi"/>
          <w:b/>
          <w:bCs/>
        </w:rPr>
        <w:t xml:space="preserve">Ministerstwa Cyfryzacji z dnia 16 grudnia 2024 r. </w:t>
      </w:r>
      <w:r w:rsidR="004E2646" w:rsidRPr="00473EC2">
        <w:rPr>
          <w:rFonts w:asciiTheme="minorHAnsi" w:hAnsiTheme="minorHAnsi" w:cstheme="minorHAnsi"/>
          <w:b/>
          <w:bCs/>
        </w:rPr>
        <w:t>o numerze DPiS.WWKS.002.165.1.2024</w:t>
      </w:r>
    </w:p>
    <w:p w14:paraId="3A6971CD" w14:textId="77777777" w:rsidR="004E2646" w:rsidRPr="00B97AF4" w:rsidRDefault="004E2646" w:rsidP="00C64B1B">
      <w:pPr>
        <w:jc w:val="center"/>
      </w:pPr>
    </w:p>
    <w:tbl>
      <w:tblPr>
        <w:tblW w:w="15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245"/>
        <w:gridCol w:w="2268"/>
        <w:gridCol w:w="4336"/>
        <w:gridCol w:w="24"/>
      </w:tblGrid>
      <w:tr w:rsidR="00B97AF4" w:rsidRPr="00B97AF4" w14:paraId="3DFA43EF" w14:textId="77777777" w:rsidTr="006400A2">
        <w:tc>
          <w:tcPr>
            <w:tcW w:w="15412" w:type="dxa"/>
            <w:gridSpan w:val="7"/>
            <w:shd w:val="clear" w:color="auto" w:fill="auto"/>
            <w:vAlign w:val="center"/>
          </w:tcPr>
          <w:p w14:paraId="3B9AD56B" w14:textId="6E3ED1C0" w:rsidR="00814256" w:rsidRPr="006A545F" w:rsidRDefault="00A06425" w:rsidP="00047F2A">
            <w:pPr>
              <w:spacing w:before="120" w:after="120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B97AF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6400A2" w:rsidRPr="00B97AF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821989" w:rsidRPr="00821989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O</w:t>
            </w:r>
            <w:r w:rsidR="006400A2" w:rsidRPr="00821989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pis założeń projektu informatycznego</w:t>
            </w:r>
            <w:r w:rsidR="006400A2" w:rsidRPr="00B97AF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47F2A" w:rsidRPr="00B97AF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Digitalizacja i udostępnianie trójwymiarowych zasobów dziedzictwa architektonicznego i archeologicznego oraz budowa Zintegrowanej Platformy Danych Przestrzennych o Zabytkach</w:t>
            </w:r>
            <w:r w:rsidR="006A545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821989" w:rsidRPr="00821989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(</w:t>
            </w:r>
            <w:r w:rsidR="006A545F" w:rsidRPr="00821989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wnioskodawca: Minister Kultury i Dziedzictwa Narodowego, beneficjent: Narodowy Instytut Dziedzictwa</w:t>
            </w:r>
            <w:r w:rsidR="00821989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)</w:t>
            </w:r>
          </w:p>
        </w:tc>
      </w:tr>
      <w:tr w:rsidR="00B97AF4" w:rsidRPr="00B97AF4" w14:paraId="6918BFE2" w14:textId="77777777" w:rsidTr="007E5E9D">
        <w:trPr>
          <w:gridAfter w:val="1"/>
          <w:wAfter w:w="24" w:type="dxa"/>
        </w:trPr>
        <w:tc>
          <w:tcPr>
            <w:tcW w:w="562" w:type="dxa"/>
            <w:shd w:val="clear" w:color="auto" w:fill="auto"/>
            <w:vAlign w:val="center"/>
          </w:tcPr>
          <w:p w14:paraId="450D0E67" w14:textId="77777777" w:rsidR="00A06425" w:rsidRPr="00B97AF4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7AF4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EE5272" w14:textId="77777777" w:rsidR="00A06425" w:rsidRPr="00B97AF4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7AF4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DDAEC3" w14:textId="77777777" w:rsidR="00A06425" w:rsidRPr="00B97AF4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7AF4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0865664" w14:textId="77777777" w:rsidR="00A06425" w:rsidRPr="00B97AF4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7AF4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CAD155E" w14:textId="77777777" w:rsidR="00A06425" w:rsidRPr="00B97AF4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7AF4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4336" w:type="dxa"/>
            <w:vAlign w:val="center"/>
          </w:tcPr>
          <w:p w14:paraId="37198539" w14:textId="77777777" w:rsidR="00A06425" w:rsidRPr="00B97AF4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7AF4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B97AF4" w:rsidRPr="00B97AF4" w14:paraId="57388FD2" w14:textId="77777777" w:rsidTr="007E5E9D">
        <w:trPr>
          <w:gridAfter w:val="1"/>
          <w:wAfter w:w="24" w:type="dxa"/>
        </w:trPr>
        <w:tc>
          <w:tcPr>
            <w:tcW w:w="562" w:type="dxa"/>
            <w:shd w:val="clear" w:color="auto" w:fill="auto"/>
          </w:tcPr>
          <w:p w14:paraId="5A662B0E" w14:textId="6A581D15" w:rsidR="00814256" w:rsidRPr="00B97AF4" w:rsidRDefault="00814256" w:rsidP="000E6B10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C8EAA6E" w14:textId="31F12B9A" w:rsidR="00814256" w:rsidRPr="00B97AF4" w:rsidRDefault="00814256" w:rsidP="0081425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7AF4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282CF87B" w14:textId="1A4BC130" w:rsidR="00814256" w:rsidRPr="00B97AF4" w:rsidRDefault="00814256" w:rsidP="008142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7AF4">
              <w:rPr>
                <w:rFonts w:asciiTheme="minorHAnsi" w:hAnsiTheme="minorHAnsi" w:cstheme="minorHAnsi"/>
                <w:bCs/>
                <w:sz w:val="22"/>
                <w:szCs w:val="22"/>
              </w:rPr>
              <w:t>2.1 Cele i korzyści wynikające z projektu</w:t>
            </w:r>
          </w:p>
        </w:tc>
        <w:tc>
          <w:tcPr>
            <w:tcW w:w="5245" w:type="dxa"/>
            <w:shd w:val="clear" w:color="auto" w:fill="auto"/>
          </w:tcPr>
          <w:p w14:paraId="39822884" w14:textId="1C023F6A" w:rsidR="00094188" w:rsidRDefault="00094188" w:rsidP="00814256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W wiersz</w:t>
            </w:r>
            <w:r w:rsidR="005F6DE2">
              <w:rPr>
                <w:rFonts w:asciiTheme="minorHAnsi" w:hAnsiTheme="minorHAnsi" w:cstheme="minorHAnsi"/>
                <w:iCs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dotyczącym Celu należy wprowadzić wyłącznie nazwę celu, wskazującego jednoznacznie na realizowany zakres projektu. </w:t>
            </w:r>
          </w:p>
          <w:p w14:paraId="3E6C3C8C" w14:textId="77777777" w:rsidR="00705F3F" w:rsidRDefault="00705F3F" w:rsidP="00814256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60455B33" w14:textId="30E5756B" w:rsidR="00705F3F" w:rsidRPr="00B97AF4" w:rsidRDefault="00705F3F" w:rsidP="00814256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lastRenderedPageBreak/>
              <w:t>Ponadto w Celu nr 3 dodatkowo zawarto informacje opisowe, które są nadmiarowe</w:t>
            </w:r>
            <w:r w:rsidR="00094188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i co do zasady powinny znaleźć się w pkt 1.1 i 1.2.</w:t>
            </w:r>
          </w:p>
        </w:tc>
        <w:tc>
          <w:tcPr>
            <w:tcW w:w="2268" w:type="dxa"/>
            <w:shd w:val="clear" w:color="auto" w:fill="auto"/>
          </w:tcPr>
          <w:p w14:paraId="5FC8AF88" w14:textId="49A271BC" w:rsidR="00814256" w:rsidRPr="00B97AF4" w:rsidRDefault="00814256" w:rsidP="008142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7AF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korektę opisu założeń.</w:t>
            </w:r>
          </w:p>
        </w:tc>
        <w:tc>
          <w:tcPr>
            <w:tcW w:w="4336" w:type="dxa"/>
          </w:tcPr>
          <w:p w14:paraId="3102E5D9" w14:textId="33075E2E" w:rsidR="00814256" w:rsidRPr="00B97AF4" w:rsidRDefault="00AB176E" w:rsidP="007A5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Przeredagowano punkt 2.1 </w:t>
            </w:r>
            <w:r w:rsidR="00FA3EA4">
              <w:rPr>
                <w:rFonts w:asciiTheme="minorHAnsi" w:hAnsiTheme="minorHAnsi" w:cstheme="minorHAnsi"/>
                <w:sz w:val="22"/>
                <w:szCs w:val="22"/>
              </w:rPr>
              <w:t xml:space="preserve">pozostawiając w </w:t>
            </w:r>
            <w:r w:rsidR="0018344E">
              <w:rPr>
                <w:rFonts w:asciiTheme="minorHAnsi" w:hAnsiTheme="minorHAnsi" w:cstheme="minorHAnsi"/>
                <w:sz w:val="22"/>
                <w:szCs w:val="22"/>
              </w:rPr>
              <w:t xml:space="preserve">wierszach dotyczących Celu wyłącznie </w:t>
            </w:r>
            <w:r w:rsidR="00830DE7">
              <w:rPr>
                <w:rFonts w:asciiTheme="minorHAnsi" w:hAnsiTheme="minorHAnsi" w:cstheme="minorHAnsi"/>
                <w:sz w:val="22"/>
                <w:szCs w:val="22"/>
              </w:rPr>
              <w:t>jego nazwę</w:t>
            </w:r>
            <w:r w:rsidR="00B8780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CE4B46" w:rsidRPr="00B97AF4" w14:paraId="01900755" w14:textId="77777777" w:rsidTr="007E5E9D">
        <w:trPr>
          <w:gridAfter w:val="1"/>
          <w:wAfter w:w="24" w:type="dxa"/>
        </w:trPr>
        <w:tc>
          <w:tcPr>
            <w:tcW w:w="562" w:type="dxa"/>
            <w:shd w:val="clear" w:color="auto" w:fill="auto"/>
          </w:tcPr>
          <w:p w14:paraId="473190E5" w14:textId="77777777" w:rsidR="00CE4B46" w:rsidRPr="00B97AF4" w:rsidRDefault="00CE4B46" w:rsidP="00177430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3907316" w14:textId="44C5B957" w:rsidR="00CE4B46" w:rsidRDefault="00CE4B46" w:rsidP="0017743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679C0149" w14:textId="02442338" w:rsidR="00CE4B46" w:rsidRDefault="00CE4B46" w:rsidP="0017743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2.1. Cele i korzyści wynikające z projektu</w:t>
            </w:r>
          </w:p>
        </w:tc>
        <w:tc>
          <w:tcPr>
            <w:tcW w:w="5245" w:type="dxa"/>
            <w:shd w:val="clear" w:color="auto" w:fill="auto"/>
          </w:tcPr>
          <w:p w14:paraId="303FAFAE" w14:textId="77777777" w:rsidR="00762D33" w:rsidRPr="00762D33" w:rsidRDefault="00CE4B46" w:rsidP="00762D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62D33">
              <w:rPr>
                <w:rFonts w:ascii="Calibri" w:hAnsi="Calibri" w:cs="Calibri"/>
                <w:sz w:val="22"/>
                <w:szCs w:val="22"/>
              </w:rPr>
              <w:t>W opisie nie uwzględniono wszystkich obligatoryjnych</w:t>
            </w:r>
            <w:r w:rsidRPr="00762D33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762D33">
              <w:rPr>
                <w:rFonts w:ascii="Calibri" w:hAnsi="Calibri" w:cs="Calibri"/>
                <w:sz w:val="22"/>
                <w:szCs w:val="22"/>
              </w:rPr>
              <w:t>wskaźników FERC,</w:t>
            </w:r>
            <w:r w:rsidR="00762D33" w:rsidRPr="00762D33">
              <w:rPr>
                <w:rFonts w:ascii="Calibri" w:hAnsi="Calibri" w:cs="Calibri"/>
                <w:sz w:val="22"/>
                <w:szCs w:val="22"/>
              </w:rPr>
              <w:t xml:space="preserve"> np.: </w:t>
            </w:r>
          </w:p>
          <w:p w14:paraId="76E2FDA3" w14:textId="65389AA6" w:rsidR="00762D33" w:rsidRDefault="00762D33" w:rsidP="00094188">
            <w:pPr>
              <w:pStyle w:val="Akapitzlist"/>
              <w:numPr>
                <w:ilvl w:val="0"/>
                <w:numId w:val="36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762D33">
              <w:rPr>
                <w:rFonts w:asciiTheme="minorHAnsi" w:hAnsiTheme="minorHAnsi" w:cstheme="minorHAnsi"/>
                <w:sz w:val="22"/>
                <w:szCs w:val="22"/>
              </w:rPr>
              <w:t>„Liczba podmiotów, które udostępniły informacje sektora publicznego/dane prywatne on-line” (obowiązkowy)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3E5CECE2" w14:textId="25FAA419" w:rsidR="00762D33" w:rsidRDefault="00762D33" w:rsidP="00094188">
            <w:pPr>
              <w:pStyle w:val="Akapitzlist"/>
              <w:numPr>
                <w:ilvl w:val="0"/>
                <w:numId w:val="36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762D33">
              <w:rPr>
                <w:rFonts w:asciiTheme="minorHAnsi" w:hAnsiTheme="minorHAnsi" w:cstheme="minorHAnsi"/>
                <w:sz w:val="22"/>
                <w:szCs w:val="22"/>
              </w:rPr>
              <w:t>Instytucje publiczne otrzymujące wsparcie na opracowywanie usług, produktów i procesów cyfrowych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  <w:p w14:paraId="6EE69B81" w14:textId="706CCA08" w:rsidR="00762D33" w:rsidRPr="00762D33" w:rsidRDefault="00762D33" w:rsidP="00094188">
            <w:pPr>
              <w:pStyle w:val="Akapitzlist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albo</w:t>
            </w:r>
          </w:p>
          <w:p w14:paraId="79E402DE" w14:textId="5EF361F5" w:rsidR="00762D33" w:rsidRPr="00762D33" w:rsidRDefault="00762D33" w:rsidP="00094188">
            <w:pPr>
              <w:pStyle w:val="Akapitzlist"/>
              <w:numPr>
                <w:ilvl w:val="0"/>
                <w:numId w:val="36"/>
              </w:numPr>
              <w:ind w:left="36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„</w:t>
            </w:r>
            <w:r w:rsidRPr="00762D33">
              <w:rPr>
                <w:rFonts w:ascii="Calibri" w:hAnsi="Calibri" w:cs="Calibri"/>
                <w:sz w:val="22"/>
                <w:szCs w:val="22"/>
              </w:rPr>
              <w:t>Liczba podmiotów wspartych w zakresie rozwoju usług, produktów i procesów cyfrowych</w:t>
            </w:r>
            <w:r>
              <w:rPr>
                <w:rFonts w:ascii="Calibri" w:hAnsi="Calibri" w:cs="Calibri"/>
                <w:sz w:val="22"/>
                <w:szCs w:val="22"/>
              </w:rPr>
              <w:t>”.</w:t>
            </w:r>
          </w:p>
          <w:p w14:paraId="61099D90" w14:textId="77777777" w:rsidR="00762D33" w:rsidRDefault="00762D33" w:rsidP="00CE4B46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58188ED5" w14:textId="0C0BDFD9" w:rsidR="00CE4B46" w:rsidRPr="00B97AF4" w:rsidRDefault="00CE4B46" w:rsidP="00CE4B46">
            <w:pPr>
              <w:rPr>
                <w:rFonts w:ascii="Calibri" w:hAnsi="Calibri" w:cs="Calibri"/>
                <w:sz w:val="22"/>
                <w:szCs w:val="22"/>
              </w:rPr>
            </w:pPr>
            <w:r w:rsidRPr="00B97AF4">
              <w:rPr>
                <w:rFonts w:ascii="Calibri" w:hAnsi="Calibri" w:cs="Calibri"/>
                <w:sz w:val="22"/>
                <w:szCs w:val="22"/>
              </w:rPr>
              <w:t>KPI muszą uwzględniać zestaw wskaźników wymaganych źródłem finansowania.</w:t>
            </w:r>
          </w:p>
          <w:p w14:paraId="66EA35BE" w14:textId="77777777" w:rsidR="00CE4B46" w:rsidRDefault="00CE4B46" w:rsidP="00762D3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421CAD43" w14:textId="171B17DC" w:rsidR="00CE4B46" w:rsidRDefault="00903893" w:rsidP="0017743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7AF4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4336" w:type="dxa"/>
          </w:tcPr>
          <w:p w14:paraId="612FCB1D" w14:textId="090322D8" w:rsidR="00CE4B46" w:rsidRDefault="00151DD5" w:rsidP="007A5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Uzupełniono </w:t>
            </w:r>
            <w:r w:rsidR="00546ED2">
              <w:rPr>
                <w:rFonts w:asciiTheme="minorHAnsi" w:hAnsiTheme="minorHAnsi" w:cstheme="minorHAnsi"/>
                <w:sz w:val="22"/>
                <w:szCs w:val="22"/>
              </w:rPr>
              <w:t xml:space="preserve">opis o </w:t>
            </w:r>
            <w:r w:rsidR="00667303">
              <w:rPr>
                <w:rFonts w:asciiTheme="minorHAnsi" w:hAnsiTheme="minorHAnsi" w:cstheme="minorHAnsi"/>
                <w:sz w:val="22"/>
                <w:szCs w:val="22"/>
              </w:rPr>
              <w:t>wskaźniki wymienione w uwadze.</w:t>
            </w:r>
          </w:p>
        </w:tc>
      </w:tr>
      <w:tr w:rsidR="00762D33" w:rsidRPr="00B97AF4" w14:paraId="415E0683" w14:textId="77777777" w:rsidTr="007E5E9D">
        <w:trPr>
          <w:gridAfter w:val="1"/>
          <w:wAfter w:w="24" w:type="dxa"/>
        </w:trPr>
        <w:tc>
          <w:tcPr>
            <w:tcW w:w="562" w:type="dxa"/>
            <w:shd w:val="clear" w:color="auto" w:fill="auto"/>
          </w:tcPr>
          <w:p w14:paraId="646786D2" w14:textId="77777777" w:rsidR="00762D33" w:rsidRPr="00B97AF4" w:rsidRDefault="00762D33" w:rsidP="00762D33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2AC1481" w14:textId="5B554168" w:rsidR="00762D33" w:rsidRDefault="00762D33" w:rsidP="00762D3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4E9BA07C" w14:textId="70BB110A" w:rsidR="00762D33" w:rsidRDefault="00762D33" w:rsidP="00762D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2.1. Cele i korzyści wynikające z projektu</w:t>
            </w:r>
          </w:p>
        </w:tc>
        <w:tc>
          <w:tcPr>
            <w:tcW w:w="5245" w:type="dxa"/>
            <w:shd w:val="clear" w:color="auto" w:fill="auto"/>
          </w:tcPr>
          <w:p w14:paraId="538999CD" w14:textId="77777777" w:rsidR="00762D33" w:rsidRDefault="00762D33" w:rsidP="00762D3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wierszu „Metoda pomiaru KPI” należy określić:</w:t>
            </w:r>
          </w:p>
          <w:p w14:paraId="60DE4056" w14:textId="77777777" w:rsidR="00762D33" w:rsidRDefault="00762D33" w:rsidP="00762D33">
            <w:pPr>
              <w:pStyle w:val="Akapitzlist"/>
              <w:numPr>
                <w:ilvl w:val="0"/>
                <w:numId w:val="34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metodę oraz sposób pomiaru KPI, np. szacunek na podstawie danych zastanych, badanie ewaluacyjne ilościowe, badanie ewaluacyjne jakościowe</w:t>
            </w:r>
          </w:p>
          <w:p w14:paraId="49570E8A" w14:textId="77777777" w:rsidR="00762D33" w:rsidRDefault="00762D33" w:rsidP="00762D33">
            <w:pPr>
              <w:pStyle w:val="Akapitzlist"/>
              <w:numPr>
                <w:ilvl w:val="0"/>
                <w:numId w:val="34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wskazać źródło danych np. baza danych systemu, BDL GUS, odpowiedzi/opinie interesariuszy, dokumentacja projektowa, raport z realizacji, protokół odbioru systemu, albo inny dokument, który to potwierdzi wartość wskaźnika oraz </w:t>
            </w:r>
          </w:p>
          <w:p w14:paraId="2BD5A22B" w14:textId="77777777" w:rsidR="00762D33" w:rsidRPr="00E766BD" w:rsidRDefault="00762D33" w:rsidP="00762D33">
            <w:pPr>
              <w:pStyle w:val="Akapitzlist"/>
              <w:numPr>
                <w:ilvl w:val="0"/>
                <w:numId w:val="34"/>
              </w:numPr>
              <w:rPr>
                <w:rFonts w:ascii="Calibri" w:hAnsi="Calibri" w:cs="Calibri"/>
                <w:sz w:val="22"/>
                <w:szCs w:val="22"/>
              </w:rPr>
            </w:pPr>
            <w:r w:rsidRPr="00E766BD">
              <w:rPr>
                <w:rFonts w:ascii="Calibri" w:hAnsi="Calibri" w:cs="Calibri"/>
                <w:sz w:val="22"/>
                <w:szCs w:val="22"/>
              </w:rPr>
              <w:t xml:space="preserve">częstotliwość pomiaru wskaźnika </w:t>
            </w:r>
            <w:r w:rsidRPr="00E766BD">
              <w:rPr>
                <w:rFonts w:ascii="Calibri" w:hAnsi="Calibri" w:cs="Calibri"/>
                <w:b/>
                <w:bCs/>
                <w:sz w:val="22"/>
                <w:szCs w:val="22"/>
              </w:rPr>
              <w:t>oraz wskazanie terminu pomiaru wartości docelowej wskaźnika</w:t>
            </w:r>
            <w:r w:rsidRPr="00E766BD">
              <w:rPr>
                <w:rFonts w:ascii="Calibri" w:hAnsi="Calibri" w:cs="Calibri"/>
                <w:sz w:val="22"/>
                <w:szCs w:val="22"/>
              </w:rPr>
              <w:t>, np. jednorazowo w dniu zakończenia projektu</w:t>
            </w:r>
          </w:p>
          <w:p w14:paraId="43688632" w14:textId="3DBB23E3" w:rsidR="00762D33" w:rsidRPr="00762D33" w:rsidRDefault="00762D33" w:rsidP="00762D33">
            <w:pPr>
              <w:rPr>
                <w:rFonts w:ascii="Calibri" w:hAnsi="Calibri" w:cs="Calibri"/>
                <w:sz w:val="22"/>
                <w:szCs w:val="22"/>
              </w:rPr>
            </w:pPr>
            <w:r w:rsidRPr="00E766BD">
              <w:rPr>
                <w:rFonts w:ascii="Calibri" w:hAnsi="Calibri" w:cs="Calibri"/>
                <w:sz w:val="22"/>
                <w:szCs w:val="22"/>
              </w:rPr>
              <w:t>mając na uwadze wykazaną planowaną docelową wartość wskaźnika KPI</w:t>
            </w:r>
          </w:p>
        </w:tc>
        <w:tc>
          <w:tcPr>
            <w:tcW w:w="2268" w:type="dxa"/>
            <w:shd w:val="clear" w:color="auto" w:fill="auto"/>
          </w:tcPr>
          <w:p w14:paraId="4F5C9441" w14:textId="77777777" w:rsidR="00762D33" w:rsidRDefault="00762D33" w:rsidP="00762D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opisu założeń.</w:t>
            </w:r>
          </w:p>
          <w:p w14:paraId="1BF0FB24" w14:textId="77777777" w:rsidR="00762D33" w:rsidRDefault="00762D33" w:rsidP="00762D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36" w:type="dxa"/>
          </w:tcPr>
          <w:p w14:paraId="06DF58CB" w14:textId="73BB05D8" w:rsidR="00762D33" w:rsidRDefault="00686AC2" w:rsidP="007A5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Uzupełniono opis </w:t>
            </w:r>
            <w:r w:rsidR="007A5B8B">
              <w:rPr>
                <w:rFonts w:asciiTheme="minorHAnsi" w:hAnsiTheme="minorHAnsi" w:cstheme="minorHAnsi"/>
                <w:sz w:val="22"/>
                <w:szCs w:val="22"/>
              </w:rPr>
              <w:t>w wierszu Metoda pomiaru KPI zgodnie z treścią uwagi.</w:t>
            </w:r>
          </w:p>
        </w:tc>
      </w:tr>
      <w:tr w:rsidR="00762D33" w:rsidRPr="00B97AF4" w14:paraId="55F2C707" w14:textId="77777777" w:rsidTr="007E5E9D">
        <w:trPr>
          <w:gridAfter w:val="1"/>
          <w:wAfter w:w="24" w:type="dxa"/>
        </w:trPr>
        <w:tc>
          <w:tcPr>
            <w:tcW w:w="562" w:type="dxa"/>
            <w:shd w:val="clear" w:color="auto" w:fill="auto"/>
          </w:tcPr>
          <w:p w14:paraId="6B5F9735" w14:textId="77777777" w:rsidR="00762D33" w:rsidRPr="00B97AF4" w:rsidRDefault="00762D33" w:rsidP="00762D33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D38BDC5" w14:textId="3145693B" w:rsidR="00762D33" w:rsidRPr="00B97AF4" w:rsidRDefault="00762D33" w:rsidP="00762D3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1C05DD19" w14:textId="77777777" w:rsidR="00762D33" w:rsidRPr="00B97AF4" w:rsidRDefault="00762D33" w:rsidP="00762D3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7AF4">
              <w:rPr>
                <w:rFonts w:ascii="Calibri" w:hAnsi="Calibri" w:cs="Calibri"/>
                <w:sz w:val="22"/>
                <w:szCs w:val="22"/>
              </w:rPr>
              <w:t>3. Kamienie milowe</w:t>
            </w:r>
          </w:p>
          <w:p w14:paraId="14D50F9A" w14:textId="77777777" w:rsidR="00762D33" w:rsidRPr="00B97AF4" w:rsidRDefault="00762D33" w:rsidP="00762D3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14:paraId="4CC4430A" w14:textId="5AD4B345" w:rsidR="00762D33" w:rsidRPr="00B97AF4" w:rsidRDefault="00762D33" w:rsidP="00762D3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Kamienie milowe należy ułożyć chronologicznie.</w:t>
            </w:r>
          </w:p>
        </w:tc>
        <w:tc>
          <w:tcPr>
            <w:tcW w:w="2268" w:type="dxa"/>
            <w:shd w:val="clear" w:color="auto" w:fill="auto"/>
          </w:tcPr>
          <w:p w14:paraId="204CA409" w14:textId="6DC39B66" w:rsidR="00762D33" w:rsidRPr="00762D33" w:rsidRDefault="00762D33" w:rsidP="00762D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4336" w:type="dxa"/>
          </w:tcPr>
          <w:p w14:paraId="373DB919" w14:textId="4871857C" w:rsidR="00762D33" w:rsidRDefault="008B2A84" w:rsidP="007A5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Kamienie milowe zostały ułożone chronologicznie</w:t>
            </w:r>
            <w:r w:rsidR="005F6DE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762D33" w:rsidRPr="00B97AF4" w14:paraId="538F994C" w14:textId="77777777" w:rsidTr="007E5E9D">
        <w:trPr>
          <w:gridAfter w:val="1"/>
          <w:wAfter w:w="24" w:type="dxa"/>
        </w:trPr>
        <w:tc>
          <w:tcPr>
            <w:tcW w:w="562" w:type="dxa"/>
            <w:shd w:val="clear" w:color="auto" w:fill="auto"/>
          </w:tcPr>
          <w:p w14:paraId="300BBB3D" w14:textId="33D0BEBD" w:rsidR="00762D33" w:rsidRPr="00B97AF4" w:rsidRDefault="00762D33" w:rsidP="00762D33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D1ACD87" w14:textId="7627F86C" w:rsidR="00762D33" w:rsidRPr="00B97AF4" w:rsidRDefault="00762D33" w:rsidP="00762D3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7AF4">
              <w:rPr>
                <w:rFonts w:asciiTheme="minorHAnsi" w:hAnsiTheme="minorHAnsi" w:cstheme="minorHAnsi"/>
                <w:b/>
                <w:sz w:val="22"/>
                <w:szCs w:val="22"/>
              </w:rPr>
              <w:t>KRMC</w:t>
            </w:r>
          </w:p>
        </w:tc>
        <w:tc>
          <w:tcPr>
            <w:tcW w:w="1843" w:type="dxa"/>
            <w:shd w:val="clear" w:color="auto" w:fill="auto"/>
          </w:tcPr>
          <w:p w14:paraId="542A7110" w14:textId="77777777" w:rsidR="00762D33" w:rsidRPr="00B97AF4" w:rsidRDefault="00762D33" w:rsidP="00762D3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7AF4">
              <w:rPr>
                <w:rFonts w:ascii="Calibri" w:hAnsi="Calibri" w:cs="Calibri"/>
                <w:sz w:val="22"/>
                <w:szCs w:val="22"/>
              </w:rPr>
              <w:t>3. Kamienie milowe</w:t>
            </w:r>
          </w:p>
          <w:p w14:paraId="184BA0FE" w14:textId="77777777" w:rsidR="00762D33" w:rsidRPr="00B97AF4" w:rsidRDefault="00762D33" w:rsidP="00762D33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14:paraId="286BE7CC" w14:textId="65DD3667" w:rsidR="00762D33" w:rsidRPr="00B97AF4" w:rsidRDefault="00762D33" w:rsidP="00762D33">
            <w:pPr>
              <w:rPr>
                <w:rFonts w:ascii="Calibri" w:hAnsi="Calibri" w:cs="Calibri"/>
                <w:sz w:val="22"/>
                <w:szCs w:val="22"/>
              </w:rPr>
            </w:pPr>
            <w:r w:rsidRPr="00B97AF4">
              <w:rPr>
                <w:rFonts w:ascii="Calibri" w:hAnsi="Calibri" w:cs="Calibri"/>
                <w:sz w:val="22"/>
                <w:szCs w:val="22"/>
              </w:rPr>
              <w:t xml:space="preserve">Kamień milowy to </w:t>
            </w:r>
            <w:r w:rsidRPr="00B97AF4">
              <w:rPr>
                <w:rFonts w:asciiTheme="minorHAnsi" w:hAnsiTheme="minorHAnsi" w:cstheme="minorHAnsi"/>
                <w:sz w:val="22"/>
                <w:szCs w:val="22"/>
              </w:rPr>
              <w:t>ważny „punkt kontrolny” projektu, który podsumowuje zrealizowaną grupę działań mającą na celu wytworzenie i wdrożenie określonego produktu lub zestawu produktów projektu oraz umożliwia</w:t>
            </w:r>
            <w:r w:rsidRPr="00B97AF4">
              <w:rPr>
                <w:rFonts w:ascii="Calibri" w:hAnsi="Calibri" w:cs="Calibri"/>
                <w:sz w:val="22"/>
                <w:szCs w:val="22"/>
              </w:rPr>
              <w:t xml:space="preserve"> ocenę jego osiągnięcia, dlatego powinny być określone w </w:t>
            </w:r>
            <w:r w:rsidRPr="00B97AF4">
              <w:rPr>
                <w:rFonts w:ascii="Calibri" w:hAnsi="Calibri" w:cs="Calibri"/>
                <w:b/>
                <w:bCs/>
                <w:sz w:val="22"/>
                <w:szCs w:val="22"/>
              </w:rPr>
              <w:t>odstępach maksymalnie 6 miesięcy</w:t>
            </w:r>
            <w:r w:rsidRPr="00B97AF4">
              <w:rPr>
                <w:rFonts w:ascii="Calibri" w:hAnsi="Calibri" w:cs="Calibri"/>
                <w:sz w:val="22"/>
                <w:szCs w:val="22"/>
              </w:rPr>
              <w:t>, natomiast w przypadku projektów o okresie realizacji krótszym niż 3 lata, jeśli jest to możliwe, częstotliwość określenia kamieni milowych powinna być jeszcze większa.</w:t>
            </w:r>
          </w:p>
        </w:tc>
        <w:tc>
          <w:tcPr>
            <w:tcW w:w="2268" w:type="dxa"/>
            <w:shd w:val="clear" w:color="auto" w:fill="auto"/>
          </w:tcPr>
          <w:p w14:paraId="4EA84770" w14:textId="11BA3010" w:rsidR="00762D33" w:rsidRPr="00B97AF4" w:rsidRDefault="00762D33" w:rsidP="00762D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7AF4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4336" w:type="dxa"/>
          </w:tcPr>
          <w:p w14:paraId="28C974B9" w14:textId="28AF3CC4" w:rsidR="00762D33" w:rsidRPr="00B97AF4" w:rsidRDefault="00D1021C" w:rsidP="007A5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Wprowadzono dodatkowy kamień milowy pn.: </w:t>
            </w:r>
            <w:r w:rsidR="00382B93" w:rsidRPr="00382B93">
              <w:rPr>
                <w:rFonts w:asciiTheme="minorHAnsi" w:hAnsiTheme="minorHAnsi" w:cstheme="minorHAnsi"/>
                <w:sz w:val="22"/>
                <w:szCs w:val="22"/>
              </w:rPr>
              <w:t>Opracowanie szczegółowego projektu wykonawczego rozbudowy Systemu NID</w:t>
            </w:r>
            <w:r w:rsidR="00382B93">
              <w:rPr>
                <w:rFonts w:asciiTheme="minorHAnsi" w:hAnsiTheme="minorHAnsi" w:cstheme="minorHAnsi"/>
                <w:sz w:val="22"/>
                <w:szCs w:val="22"/>
              </w:rPr>
              <w:t xml:space="preserve"> (termin osiągnięcia: </w:t>
            </w:r>
            <w:r w:rsidR="00D477C3">
              <w:rPr>
                <w:rFonts w:asciiTheme="minorHAnsi" w:hAnsiTheme="minorHAnsi" w:cstheme="minorHAnsi"/>
                <w:sz w:val="22"/>
                <w:szCs w:val="22"/>
              </w:rPr>
              <w:t>31.12.2026r.). W obecnym układzie odstępy pomiędzy kolejnymi kamieniami milowymi</w:t>
            </w:r>
            <w:r w:rsidR="00D001A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D7DB4">
              <w:rPr>
                <w:rFonts w:asciiTheme="minorHAnsi" w:hAnsiTheme="minorHAnsi" w:cstheme="minorHAnsi"/>
                <w:sz w:val="22"/>
                <w:szCs w:val="22"/>
              </w:rPr>
              <w:t>są zwykle krótsze</w:t>
            </w:r>
            <w:r w:rsidR="00D001A0">
              <w:rPr>
                <w:rFonts w:asciiTheme="minorHAnsi" w:hAnsiTheme="minorHAnsi" w:cstheme="minorHAnsi"/>
                <w:sz w:val="22"/>
                <w:szCs w:val="22"/>
              </w:rPr>
              <w:t xml:space="preserve"> niż 6 miesięcy i w żadnym przypadku</w:t>
            </w:r>
            <w:r w:rsidR="00D477C3">
              <w:rPr>
                <w:rFonts w:asciiTheme="minorHAnsi" w:hAnsiTheme="minorHAnsi" w:cstheme="minorHAnsi"/>
                <w:sz w:val="22"/>
                <w:szCs w:val="22"/>
              </w:rPr>
              <w:t xml:space="preserve"> nie przekraczają </w:t>
            </w:r>
            <w:r w:rsidR="00D001A0">
              <w:rPr>
                <w:rFonts w:asciiTheme="minorHAnsi" w:hAnsiTheme="minorHAnsi" w:cstheme="minorHAnsi"/>
                <w:sz w:val="22"/>
                <w:szCs w:val="22"/>
              </w:rPr>
              <w:t>tego terminu.</w:t>
            </w:r>
            <w:r w:rsidR="007345E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762D33" w:rsidRPr="00B97AF4" w14:paraId="5A171F52" w14:textId="77777777" w:rsidTr="007E5E9D">
        <w:trPr>
          <w:gridAfter w:val="1"/>
          <w:wAfter w:w="24" w:type="dxa"/>
        </w:trPr>
        <w:tc>
          <w:tcPr>
            <w:tcW w:w="562" w:type="dxa"/>
            <w:shd w:val="clear" w:color="auto" w:fill="auto"/>
          </w:tcPr>
          <w:p w14:paraId="6F9EDE21" w14:textId="77777777" w:rsidR="00762D33" w:rsidRPr="00B97AF4" w:rsidRDefault="00762D33" w:rsidP="00762D33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CBC9738" w14:textId="03CE333C" w:rsidR="00762D33" w:rsidRPr="00B97AF4" w:rsidRDefault="00762D33" w:rsidP="00762D3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7AF4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2A02034E" w14:textId="5EA41585" w:rsidR="00762D33" w:rsidRPr="00B97AF4" w:rsidRDefault="00762D33" w:rsidP="00762D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7AF4">
              <w:rPr>
                <w:rFonts w:asciiTheme="minorHAnsi" w:hAnsiTheme="minorHAnsi" w:cstheme="minorHAnsi"/>
                <w:sz w:val="22"/>
                <w:szCs w:val="22"/>
              </w:rPr>
              <w:t>3. Kamienie milowe</w:t>
            </w:r>
          </w:p>
        </w:tc>
        <w:tc>
          <w:tcPr>
            <w:tcW w:w="5245" w:type="dxa"/>
            <w:shd w:val="clear" w:color="auto" w:fill="auto"/>
          </w:tcPr>
          <w:p w14:paraId="2A459783" w14:textId="19471578" w:rsidR="00762D33" w:rsidRPr="00B97AF4" w:rsidRDefault="00762D33" w:rsidP="00762D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Hlk181907875"/>
            <w:bookmarkStart w:id="1" w:name="_Hlk181908001"/>
            <w:r w:rsidRPr="00B97AF4">
              <w:rPr>
                <w:rFonts w:asciiTheme="minorHAnsi" w:hAnsiTheme="minorHAnsi" w:cstheme="minorHAnsi"/>
                <w:sz w:val="22"/>
                <w:szCs w:val="22"/>
              </w:rPr>
              <w:t>Daty osiągnięcia kamieni milowych odpowiadające produktom głównym (wymienionym w pkt 2.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 i </w:t>
            </w:r>
            <w:r w:rsidRPr="00B97AF4">
              <w:rPr>
                <w:rFonts w:asciiTheme="minorHAnsi" w:hAnsiTheme="minorHAnsi" w:cstheme="minorHAnsi"/>
                <w:sz w:val="22"/>
                <w:szCs w:val="22"/>
              </w:rPr>
              <w:t>2.4) powinny być zbieżne z datami wdrożenia tych produktów</w:t>
            </w:r>
            <w:bookmarkEnd w:id="0"/>
            <w:r w:rsidRPr="00B97AF4">
              <w:rPr>
                <w:rFonts w:asciiTheme="minorHAnsi" w:hAnsiTheme="minorHAnsi" w:cstheme="minorHAnsi"/>
                <w:sz w:val="22"/>
                <w:szCs w:val="22"/>
              </w:rPr>
              <w:t xml:space="preserve"> (zakończenia realizacji grupy działań prowadzącą do wdrożenia produktu).</w:t>
            </w:r>
            <w:bookmarkEnd w:id="1"/>
          </w:p>
        </w:tc>
        <w:tc>
          <w:tcPr>
            <w:tcW w:w="2268" w:type="dxa"/>
            <w:shd w:val="clear" w:color="auto" w:fill="auto"/>
          </w:tcPr>
          <w:p w14:paraId="4AD23DB4" w14:textId="572ECFF1" w:rsidR="00762D33" w:rsidRPr="00B97AF4" w:rsidRDefault="00762D33" w:rsidP="00762D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7AF4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4336" w:type="dxa"/>
          </w:tcPr>
          <w:p w14:paraId="0FE35C72" w14:textId="08E77C66" w:rsidR="00762D33" w:rsidRPr="007A5745" w:rsidRDefault="00D2607A" w:rsidP="007A5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A5745">
              <w:rPr>
                <w:rFonts w:asciiTheme="minorHAnsi" w:hAnsiTheme="minorHAnsi" w:cstheme="minorHAnsi"/>
                <w:sz w:val="22"/>
                <w:szCs w:val="22"/>
              </w:rPr>
              <w:t xml:space="preserve">W celu uzyskania pełnej zbieżności pomiędzy </w:t>
            </w:r>
            <w:r w:rsidR="006C161C" w:rsidRPr="007A5745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BB44FA" w:rsidRPr="007A5745">
              <w:rPr>
                <w:rFonts w:asciiTheme="minorHAnsi" w:hAnsiTheme="minorHAnsi" w:cstheme="minorHAnsi"/>
                <w:sz w:val="22"/>
                <w:szCs w:val="22"/>
              </w:rPr>
              <w:t>at</w:t>
            </w:r>
            <w:r w:rsidRPr="007A5745">
              <w:rPr>
                <w:rFonts w:asciiTheme="minorHAnsi" w:hAnsiTheme="minorHAnsi" w:cstheme="minorHAnsi"/>
                <w:sz w:val="22"/>
                <w:szCs w:val="22"/>
              </w:rPr>
              <w:t>ami</w:t>
            </w:r>
            <w:r w:rsidR="00BB44FA" w:rsidRPr="007A5745">
              <w:rPr>
                <w:rFonts w:asciiTheme="minorHAnsi" w:hAnsiTheme="minorHAnsi" w:cstheme="minorHAnsi"/>
                <w:sz w:val="22"/>
                <w:szCs w:val="22"/>
              </w:rPr>
              <w:t xml:space="preserve"> osiągnięcia kamieni milowych</w:t>
            </w:r>
            <w:r w:rsidR="00C94536" w:rsidRPr="007A5745">
              <w:rPr>
                <w:rFonts w:asciiTheme="minorHAnsi" w:hAnsiTheme="minorHAnsi" w:cstheme="minorHAnsi"/>
                <w:sz w:val="22"/>
                <w:szCs w:val="22"/>
              </w:rPr>
              <w:t xml:space="preserve"> oraz </w:t>
            </w:r>
            <w:r w:rsidR="00EB2C14" w:rsidRPr="007A5745">
              <w:rPr>
                <w:rFonts w:asciiTheme="minorHAnsi" w:hAnsiTheme="minorHAnsi" w:cstheme="minorHAnsi"/>
                <w:sz w:val="22"/>
                <w:szCs w:val="22"/>
              </w:rPr>
              <w:t>planowanymi datami udostępnienia informacji sektora publicznego</w:t>
            </w:r>
            <w:r w:rsidR="003D4CCA" w:rsidRPr="007A5745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EB2C14" w:rsidRPr="007A574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D4CCA" w:rsidRPr="007A5745">
              <w:rPr>
                <w:rFonts w:asciiTheme="minorHAnsi" w:hAnsiTheme="minorHAnsi" w:cstheme="minorHAnsi"/>
                <w:sz w:val="22"/>
                <w:szCs w:val="22"/>
              </w:rPr>
              <w:t>skorygowano daty w pkt. 2.3</w:t>
            </w:r>
            <w:r w:rsidR="00444482" w:rsidRPr="007A5745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4B1029" w:rsidRPr="007A5745">
              <w:rPr>
                <w:rFonts w:asciiTheme="minorHAnsi" w:hAnsiTheme="minorHAnsi" w:cstheme="minorHAnsi"/>
                <w:sz w:val="22"/>
                <w:szCs w:val="22"/>
              </w:rPr>
              <w:t>Aktualne daty są zbieżne z</w:t>
            </w:r>
            <w:r w:rsidR="00DD1EDC" w:rsidRPr="007A574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778BE" w:rsidRPr="007A5745">
              <w:rPr>
                <w:rFonts w:asciiTheme="minorHAnsi" w:hAnsiTheme="minorHAnsi" w:cstheme="minorHAnsi"/>
                <w:sz w:val="22"/>
                <w:szCs w:val="22"/>
              </w:rPr>
              <w:t xml:space="preserve">kamieniami milowymi pn.: </w:t>
            </w:r>
            <w:r w:rsidR="00425126" w:rsidRPr="007A5745">
              <w:rPr>
                <w:rFonts w:asciiTheme="minorHAnsi" w:hAnsiTheme="minorHAnsi" w:cstheme="minorHAnsi"/>
                <w:sz w:val="22"/>
                <w:szCs w:val="22"/>
              </w:rPr>
              <w:t>Udostępniony pełny zasób danych cyfrowych obejmujących zabytki archeologiczne; Udostępniony pełny zasób danych cyfrowych obejmujących zabytki architektoniczne</w:t>
            </w:r>
            <w:r w:rsidR="00FB179C" w:rsidRPr="007A5745">
              <w:rPr>
                <w:rFonts w:asciiTheme="minorHAnsi" w:hAnsiTheme="minorHAnsi" w:cstheme="minorHAnsi"/>
                <w:sz w:val="22"/>
                <w:szCs w:val="22"/>
              </w:rPr>
              <w:t xml:space="preserve"> (09.2028)</w:t>
            </w:r>
            <w:r w:rsidR="00425126" w:rsidRPr="007A574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4F7CE1C" w14:textId="56139615" w:rsidR="00147CBD" w:rsidRPr="007A5745" w:rsidRDefault="00AA46FC" w:rsidP="007A5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A5745">
              <w:rPr>
                <w:rFonts w:asciiTheme="minorHAnsi" w:hAnsiTheme="minorHAnsi" w:cstheme="minorHAnsi"/>
                <w:sz w:val="22"/>
                <w:szCs w:val="22"/>
              </w:rPr>
              <w:t>W celu uzyskania pełnej zbieżności pomiędzy datami osiągnięcia kamieni milowych oraz planowanymi datami wdrożenia produktów</w:t>
            </w:r>
            <w:r w:rsidR="00C30108" w:rsidRPr="007A5745">
              <w:rPr>
                <w:rFonts w:asciiTheme="minorHAnsi" w:hAnsiTheme="minorHAnsi" w:cstheme="minorHAnsi"/>
                <w:sz w:val="22"/>
                <w:szCs w:val="22"/>
              </w:rPr>
              <w:t xml:space="preserve"> końcowych projektu</w:t>
            </w:r>
            <w:r w:rsidR="005F6DE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7A574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30108" w:rsidRPr="007A5745">
              <w:rPr>
                <w:rFonts w:asciiTheme="minorHAnsi" w:hAnsiTheme="minorHAnsi" w:cstheme="minorHAnsi"/>
                <w:sz w:val="22"/>
                <w:szCs w:val="22"/>
              </w:rPr>
              <w:t xml:space="preserve">skorygowano daty </w:t>
            </w:r>
            <w:r w:rsidR="003F3F07" w:rsidRPr="007A5745">
              <w:rPr>
                <w:rFonts w:asciiTheme="minorHAnsi" w:hAnsiTheme="minorHAnsi" w:cstheme="minorHAnsi"/>
                <w:sz w:val="22"/>
                <w:szCs w:val="22"/>
              </w:rPr>
              <w:t>w pkt. 2.4.</w:t>
            </w:r>
          </w:p>
          <w:p w14:paraId="7EF11CA5" w14:textId="77777777" w:rsidR="003F3F07" w:rsidRPr="007A5745" w:rsidRDefault="003F3F07" w:rsidP="007A5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A5745">
              <w:rPr>
                <w:rFonts w:asciiTheme="minorHAnsi" w:hAnsiTheme="minorHAnsi" w:cstheme="minorHAnsi"/>
                <w:sz w:val="22"/>
                <w:szCs w:val="22"/>
              </w:rPr>
              <w:t>Aktualnie daty są zbieżne z kamieniami milowymi.</w:t>
            </w:r>
          </w:p>
          <w:p w14:paraId="3701F03E" w14:textId="73C806FD" w:rsidR="003665A7" w:rsidRPr="007A5745" w:rsidRDefault="003665A7" w:rsidP="007A5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A5745">
              <w:rPr>
                <w:rFonts w:asciiTheme="minorHAnsi" w:hAnsiTheme="minorHAnsi" w:cstheme="minorHAnsi"/>
                <w:sz w:val="22"/>
                <w:szCs w:val="22"/>
              </w:rPr>
              <w:t>Produkt</w:t>
            </w:r>
            <w:r w:rsidR="006C1B98" w:rsidRPr="007A5745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F47BE6" w:rsidRPr="007A5745">
              <w:rPr>
                <w:rFonts w:asciiTheme="minorHAnsi" w:eastAsia="MS MinNew Roman" w:hAnsiTheme="minorHAnsi" w:cstheme="minorHAnsi"/>
                <w:bCs/>
                <w:sz w:val="22"/>
                <w:szCs w:val="22"/>
              </w:rPr>
              <w:t>Specyfikacja wymagań dla systemu jest zbieżny  kamieniem milowym pn.: Opracowana specyfikacja wymagań dla systemu</w:t>
            </w:r>
            <w:r w:rsidR="002059F0" w:rsidRPr="007A5745">
              <w:rPr>
                <w:rFonts w:asciiTheme="minorHAnsi" w:eastAsia="MS MinNew Roman" w:hAnsiTheme="minorHAnsi" w:cstheme="minorHAnsi"/>
                <w:bCs/>
                <w:sz w:val="22"/>
                <w:szCs w:val="22"/>
              </w:rPr>
              <w:t xml:space="preserve"> (03.2026);</w:t>
            </w:r>
          </w:p>
          <w:p w14:paraId="136CE6FE" w14:textId="7797E91F" w:rsidR="009832DB" w:rsidRPr="007A5745" w:rsidRDefault="009832DB" w:rsidP="007A5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A5745">
              <w:rPr>
                <w:rFonts w:asciiTheme="minorHAnsi" w:hAnsiTheme="minorHAnsi" w:cstheme="minorHAnsi"/>
                <w:sz w:val="22"/>
                <w:szCs w:val="22"/>
              </w:rPr>
              <w:t>Produkty</w:t>
            </w:r>
            <w:r w:rsidR="0043100A" w:rsidRPr="007A574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01A23EF3" w14:textId="3F29365F" w:rsidR="00E015C9" w:rsidRPr="007A5745" w:rsidRDefault="00E015C9" w:rsidP="007A5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A5745">
              <w:rPr>
                <w:rFonts w:asciiTheme="minorHAnsi" w:hAnsiTheme="minorHAnsi" w:cstheme="minorHAnsi"/>
                <w:sz w:val="22"/>
                <w:szCs w:val="22"/>
              </w:rPr>
              <w:t>Modyfikacja Systemu NID (o moduł dotyczący Platformy Danych Przestrzennych o Zabytkach</w:t>
            </w:r>
            <w:r w:rsidR="0043100A" w:rsidRPr="007A5745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B0E2F52" w14:textId="2B17ACEF" w:rsidR="009832DB" w:rsidRPr="007A5745" w:rsidRDefault="00FE134D" w:rsidP="007A5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A5745">
              <w:rPr>
                <w:rFonts w:asciiTheme="minorHAnsi" w:hAnsiTheme="minorHAnsi" w:cstheme="minorHAnsi"/>
                <w:sz w:val="22"/>
                <w:szCs w:val="22"/>
              </w:rPr>
              <w:t>Interfejs API</w:t>
            </w:r>
            <w:r w:rsidR="0043100A" w:rsidRPr="007A5745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A350D49" w14:textId="77777777" w:rsidR="0043100A" w:rsidRPr="007A5745" w:rsidRDefault="0043100A" w:rsidP="007A5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A574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Materiały szkoleniowe,</w:t>
            </w:r>
          </w:p>
          <w:p w14:paraId="5F1353C8" w14:textId="09A5F420" w:rsidR="0043100A" w:rsidRPr="007A5745" w:rsidRDefault="0043100A" w:rsidP="007A5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A5745">
              <w:rPr>
                <w:rFonts w:asciiTheme="minorHAnsi" w:hAnsiTheme="minorHAnsi" w:cstheme="minorHAnsi"/>
                <w:sz w:val="22"/>
                <w:szCs w:val="22"/>
              </w:rPr>
              <w:t xml:space="preserve">są zbieżne z kamieniem milowym pn.: </w:t>
            </w:r>
            <w:r w:rsidR="0010733A" w:rsidRPr="007A5745">
              <w:rPr>
                <w:rFonts w:asciiTheme="minorHAnsi" w:hAnsiTheme="minorHAnsi" w:cstheme="minorHAnsi"/>
                <w:sz w:val="22"/>
                <w:szCs w:val="22"/>
              </w:rPr>
              <w:t>Uruchomienie wersji produkcyjnej oprogramowania rozbudowanego Systemu NID (03.2028);</w:t>
            </w:r>
          </w:p>
          <w:p w14:paraId="30B5EB97" w14:textId="50533481" w:rsidR="0010733A" w:rsidRPr="007A5745" w:rsidRDefault="0010733A" w:rsidP="007A5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A5745">
              <w:rPr>
                <w:rFonts w:asciiTheme="minorHAnsi" w:hAnsiTheme="minorHAnsi" w:cstheme="minorHAnsi"/>
                <w:sz w:val="22"/>
                <w:szCs w:val="22"/>
              </w:rPr>
              <w:t>Produkt</w:t>
            </w:r>
            <w:r w:rsidR="0099249D" w:rsidRPr="007A574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0672DFEE" w14:textId="00056164" w:rsidR="0099249D" w:rsidRPr="007A5745" w:rsidRDefault="0099249D" w:rsidP="007A5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A5745">
              <w:rPr>
                <w:rFonts w:asciiTheme="minorHAnsi" w:hAnsiTheme="minorHAnsi" w:cstheme="minorHAnsi"/>
                <w:sz w:val="22"/>
                <w:szCs w:val="22"/>
              </w:rPr>
              <w:t>Produkty infrastrukturalne (wyposażenie serwerowni: macierze dyskowe, serwery, przełączniki sieciowe, urządzenia zabezpieczające oraz inne niezbędne do obsługi planowanego systemu)</w:t>
            </w:r>
          </w:p>
          <w:p w14:paraId="1F91E7EA" w14:textId="61743C9E" w:rsidR="0010733A" w:rsidRPr="007A5745" w:rsidRDefault="00531318" w:rsidP="007A5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A5745"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 w:rsidR="0099249D" w:rsidRPr="007A5745">
              <w:rPr>
                <w:rFonts w:asciiTheme="minorHAnsi" w:hAnsiTheme="minorHAnsi" w:cstheme="minorHAnsi"/>
                <w:sz w:val="22"/>
                <w:szCs w:val="22"/>
              </w:rPr>
              <w:t xml:space="preserve">est zbieżny z kamieniem milowym pn.: </w:t>
            </w:r>
          </w:p>
          <w:p w14:paraId="27C721D5" w14:textId="0A8ABC30" w:rsidR="00131431" w:rsidRPr="007A5745" w:rsidRDefault="00131431" w:rsidP="007A5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A5745">
              <w:rPr>
                <w:rFonts w:asciiTheme="minorHAnsi" w:hAnsiTheme="minorHAnsi" w:cstheme="minorHAnsi"/>
                <w:sz w:val="22"/>
                <w:szCs w:val="22"/>
              </w:rPr>
              <w:t>Oddanie do użytku zakupionych urządzeń serwerowych (</w:t>
            </w:r>
            <w:r w:rsidR="00CE4A0B" w:rsidRPr="007A5745">
              <w:rPr>
                <w:rFonts w:asciiTheme="minorHAnsi" w:hAnsiTheme="minorHAnsi" w:cstheme="minorHAnsi"/>
                <w:sz w:val="22"/>
                <w:szCs w:val="22"/>
              </w:rPr>
              <w:t>06.2027);</w:t>
            </w:r>
          </w:p>
          <w:p w14:paraId="5C7158E3" w14:textId="2B0491C5" w:rsidR="00CE4A0B" w:rsidRPr="007A5745" w:rsidRDefault="00CE4A0B" w:rsidP="007A5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A5745">
              <w:rPr>
                <w:rFonts w:asciiTheme="minorHAnsi" w:hAnsiTheme="minorHAnsi" w:cstheme="minorHAnsi"/>
                <w:sz w:val="22"/>
                <w:szCs w:val="22"/>
              </w:rPr>
              <w:t>Produkt</w:t>
            </w:r>
            <w:r w:rsidR="00063A29" w:rsidRPr="007A574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531318" w:rsidRPr="007A5745">
              <w:rPr>
                <w:rFonts w:asciiTheme="minorHAnsi" w:hAnsiTheme="minorHAnsi" w:cstheme="minorHAnsi"/>
                <w:sz w:val="22"/>
                <w:szCs w:val="22"/>
              </w:rPr>
              <w:t xml:space="preserve"> Raport z testów bezpieczeństwa,</w:t>
            </w:r>
          </w:p>
          <w:p w14:paraId="7BA6D375" w14:textId="1AF010D4" w:rsidR="00B73C7B" w:rsidRPr="007A5745" w:rsidRDefault="00531318" w:rsidP="007A5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A5745">
              <w:rPr>
                <w:rFonts w:asciiTheme="minorHAnsi" w:hAnsiTheme="minorHAnsi" w:cstheme="minorHAnsi"/>
                <w:sz w:val="22"/>
                <w:szCs w:val="22"/>
              </w:rPr>
              <w:t xml:space="preserve">jest zbieżny z kamieniem milowym pn.: </w:t>
            </w:r>
            <w:r w:rsidR="00B73C7B" w:rsidRPr="007A5745">
              <w:rPr>
                <w:rFonts w:asciiTheme="minorHAnsi" w:hAnsiTheme="minorHAnsi" w:cstheme="minorHAnsi"/>
                <w:sz w:val="22"/>
                <w:szCs w:val="22"/>
              </w:rPr>
              <w:t>Uzyskany pozytywny wynik testów bezpieczeństwa (03.2028);</w:t>
            </w:r>
          </w:p>
          <w:p w14:paraId="68C54007" w14:textId="6B86F854" w:rsidR="00B73C7B" w:rsidRPr="007A5745" w:rsidRDefault="00B73C7B" w:rsidP="007A5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A5745">
              <w:rPr>
                <w:rFonts w:asciiTheme="minorHAnsi" w:hAnsiTheme="minorHAnsi" w:cstheme="minorHAnsi"/>
                <w:sz w:val="22"/>
                <w:szCs w:val="22"/>
              </w:rPr>
              <w:t xml:space="preserve">Produkt: </w:t>
            </w:r>
            <w:r w:rsidR="00D17B08" w:rsidRPr="007A5745">
              <w:rPr>
                <w:rFonts w:asciiTheme="minorHAnsi" w:hAnsiTheme="minorHAnsi" w:cstheme="minorHAnsi"/>
                <w:sz w:val="22"/>
                <w:szCs w:val="22"/>
              </w:rPr>
              <w:t xml:space="preserve">Raport z testów wydajności, jest zbieżny z kamieniem milowym </w:t>
            </w:r>
            <w:r w:rsidR="00C34F98" w:rsidRPr="007A5745">
              <w:rPr>
                <w:rFonts w:asciiTheme="minorHAnsi" w:hAnsiTheme="minorHAnsi" w:cstheme="minorHAnsi"/>
                <w:sz w:val="22"/>
                <w:szCs w:val="22"/>
              </w:rPr>
              <w:t>pn.: Uzyskany pozytywny wynik testów wydajności</w:t>
            </w:r>
            <w:r w:rsidR="003E3EAF" w:rsidRPr="007A5745">
              <w:rPr>
                <w:rFonts w:asciiTheme="minorHAnsi" w:hAnsiTheme="minorHAnsi" w:cstheme="minorHAnsi"/>
                <w:sz w:val="22"/>
                <w:szCs w:val="22"/>
              </w:rPr>
              <w:t>(03.2028);</w:t>
            </w:r>
          </w:p>
          <w:p w14:paraId="7BB50512" w14:textId="4CABB3DF" w:rsidR="00C34F98" w:rsidRPr="007A5745" w:rsidRDefault="00C34F98" w:rsidP="007A5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A5745">
              <w:rPr>
                <w:rFonts w:asciiTheme="minorHAnsi" w:hAnsiTheme="minorHAnsi" w:cstheme="minorHAnsi"/>
                <w:sz w:val="22"/>
                <w:szCs w:val="22"/>
              </w:rPr>
              <w:t xml:space="preserve">Produkt: </w:t>
            </w:r>
            <w:r w:rsidR="003E3EAF" w:rsidRPr="007A5745">
              <w:rPr>
                <w:rFonts w:asciiTheme="minorHAnsi" w:hAnsiTheme="minorHAnsi" w:cstheme="minorHAnsi"/>
                <w:sz w:val="22"/>
                <w:szCs w:val="22"/>
              </w:rPr>
              <w:t>Raport z testów badań UX, jest zbieżny z kamieniem milowym pn.: Uzyskany pozytywny wynik testów badań UX (03.2028);</w:t>
            </w:r>
          </w:p>
          <w:p w14:paraId="189BEFBC" w14:textId="33BA30A9" w:rsidR="002059F0" w:rsidRPr="007A5745" w:rsidRDefault="00B04389" w:rsidP="007A5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A5745">
              <w:rPr>
                <w:rFonts w:asciiTheme="minorHAnsi" w:hAnsiTheme="minorHAnsi" w:cstheme="minorHAnsi"/>
                <w:sz w:val="22"/>
                <w:szCs w:val="22"/>
              </w:rPr>
              <w:t>Produkty:</w:t>
            </w:r>
          </w:p>
          <w:p w14:paraId="03A9AAD6" w14:textId="7A5E6CBD" w:rsidR="00B04389" w:rsidRPr="007A5745" w:rsidRDefault="00F3727A" w:rsidP="007A5745">
            <w:pPr>
              <w:rPr>
                <w:rFonts w:asciiTheme="minorHAnsi" w:eastAsia="MS MinNew Roman" w:hAnsiTheme="minorHAnsi" w:cstheme="minorHAnsi"/>
                <w:bCs/>
                <w:sz w:val="22"/>
                <w:szCs w:val="22"/>
              </w:rPr>
            </w:pPr>
            <w:r w:rsidRPr="007A5745">
              <w:rPr>
                <w:rFonts w:asciiTheme="minorHAnsi" w:eastAsia="MS MinNew Roman" w:hAnsiTheme="minorHAnsi" w:cstheme="minorHAnsi"/>
                <w:bCs/>
                <w:sz w:val="22"/>
                <w:szCs w:val="22"/>
              </w:rPr>
              <w:t>Opis standardu inwentaryzacji cyfrowej zabytków architektonicznych i archeologicznych</w:t>
            </w:r>
            <w:r w:rsidR="004C73ED" w:rsidRPr="007A5745">
              <w:rPr>
                <w:rFonts w:asciiTheme="minorHAnsi" w:eastAsia="MS MinNew Roman" w:hAnsiTheme="minorHAnsi" w:cstheme="minorHAnsi"/>
                <w:bCs/>
                <w:sz w:val="22"/>
                <w:szCs w:val="22"/>
              </w:rPr>
              <w:t>,</w:t>
            </w:r>
          </w:p>
          <w:p w14:paraId="48AD418C" w14:textId="773EBCFF" w:rsidR="00D05F08" w:rsidRPr="007A5745" w:rsidRDefault="00D05F08" w:rsidP="007A5745">
            <w:pPr>
              <w:rPr>
                <w:rFonts w:asciiTheme="minorHAnsi" w:eastAsia="MS MinNew Roman" w:hAnsiTheme="minorHAnsi" w:cstheme="minorHAnsi"/>
                <w:bCs/>
                <w:sz w:val="22"/>
                <w:szCs w:val="22"/>
              </w:rPr>
            </w:pPr>
            <w:r w:rsidRPr="007A5745">
              <w:rPr>
                <w:rFonts w:asciiTheme="minorHAnsi" w:eastAsia="MS MinNew Roman" w:hAnsiTheme="minorHAnsi" w:cstheme="minorHAnsi"/>
                <w:bCs/>
                <w:sz w:val="22"/>
                <w:szCs w:val="22"/>
              </w:rPr>
              <w:t>Opis procedur i wytycznych w zakresie udostępniania repozytorium innym podmiotom (w tym chcącym przekazać do systemu własne dane 3D)</w:t>
            </w:r>
            <w:r w:rsidR="004C73ED" w:rsidRPr="007A5745">
              <w:rPr>
                <w:rFonts w:asciiTheme="minorHAnsi" w:eastAsia="MS MinNew Roman" w:hAnsiTheme="minorHAnsi" w:cstheme="minorHAnsi"/>
                <w:bCs/>
                <w:sz w:val="22"/>
                <w:szCs w:val="22"/>
              </w:rPr>
              <w:t>,</w:t>
            </w:r>
          </w:p>
          <w:p w14:paraId="336C34F8" w14:textId="3AA8277D" w:rsidR="00D05F08" w:rsidRPr="007A5745" w:rsidRDefault="004C73ED" w:rsidP="007A5745">
            <w:pPr>
              <w:rPr>
                <w:rFonts w:asciiTheme="minorHAnsi" w:eastAsia="MS MinNew Roman" w:hAnsiTheme="minorHAnsi" w:cstheme="minorHAnsi"/>
                <w:bCs/>
                <w:sz w:val="22"/>
                <w:szCs w:val="22"/>
              </w:rPr>
            </w:pPr>
            <w:r w:rsidRPr="007A5745">
              <w:rPr>
                <w:rFonts w:asciiTheme="minorHAnsi" w:eastAsia="MS MinNew Roman" w:hAnsiTheme="minorHAnsi" w:cstheme="minorHAnsi"/>
                <w:bCs/>
                <w:sz w:val="22"/>
                <w:szCs w:val="22"/>
              </w:rPr>
              <w:lastRenderedPageBreak/>
              <w:t>Instrukcje dla użytkowników Platformy Danych Przestrzennych o Zabytkach będącej częścią Systemu NID,</w:t>
            </w:r>
          </w:p>
          <w:p w14:paraId="725F5ED5" w14:textId="27C4DA1A" w:rsidR="004C73ED" w:rsidRPr="007A5745" w:rsidRDefault="00611847" w:rsidP="007A5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A5745">
              <w:rPr>
                <w:rFonts w:asciiTheme="minorHAnsi" w:hAnsiTheme="minorHAnsi" w:cstheme="minorHAnsi"/>
                <w:sz w:val="22"/>
                <w:szCs w:val="22"/>
              </w:rPr>
              <w:t xml:space="preserve">są zbieżne z kamieniami milowymi pn.: </w:t>
            </w:r>
          </w:p>
          <w:p w14:paraId="572F3914" w14:textId="523EE4A2" w:rsidR="009628F4" w:rsidRPr="007A5745" w:rsidRDefault="0043240C" w:rsidP="007A5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A5745">
              <w:rPr>
                <w:rFonts w:asciiTheme="minorHAnsi" w:hAnsiTheme="minorHAnsi" w:cstheme="minorHAnsi"/>
                <w:sz w:val="22"/>
                <w:szCs w:val="22"/>
              </w:rPr>
              <w:t>Udostępniony pełny zasób danych cyfrowych obejmujących zabytki archeologiczne,</w:t>
            </w:r>
          </w:p>
          <w:p w14:paraId="16B76BE2" w14:textId="05D4F6FA" w:rsidR="0043240C" w:rsidRPr="007A5745" w:rsidRDefault="0043240C" w:rsidP="007A5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A5745">
              <w:rPr>
                <w:rFonts w:asciiTheme="minorHAnsi" w:hAnsiTheme="minorHAnsi" w:cstheme="minorHAnsi"/>
                <w:sz w:val="22"/>
                <w:szCs w:val="22"/>
              </w:rPr>
              <w:t>Udostępniony pełny zasób danych cyfrowych obejmujących zabytki architektoniczne</w:t>
            </w:r>
            <w:r w:rsidR="00611847" w:rsidRPr="007A5745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1646B8" w:rsidRPr="007A5745">
              <w:rPr>
                <w:rFonts w:asciiTheme="minorHAnsi" w:hAnsiTheme="minorHAnsi" w:cstheme="minorHAnsi"/>
                <w:sz w:val="22"/>
                <w:szCs w:val="22"/>
              </w:rPr>
              <w:t>09.2028)</w:t>
            </w:r>
            <w:r w:rsidR="005F6DE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E95F64F" w14:textId="42427ACA" w:rsidR="003F3F07" w:rsidRPr="007A5745" w:rsidRDefault="003F3F07" w:rsidP="007A5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3893" w:rsidRPr="00B97AF4" w14:paraId="198AE872" w14:textId="77777777" w:rsidTr="007E5E9D">
        <w:trPr>
          <w:gridAfter w:val="1"/>
          <w:wAfter w:w="24" w:type="dxa"/>
        </w:trPr>
        <w:tc>
          <w:tcPr>
            <w:tcW w:w="562" w:type="dxa"/>
            <w:shd w:val="clear" w:color="auto" w:fill="auto"/>
          </w:tcPr>
          <w:p w14:paraId="2C93C936" w14:textId="77777777" w:rsidR="00903893" w:rsidRPr="00B97AF4" w:rsidRDefault="00903893" w:rsidP="00903893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C9AF58F" w14:textId="6657089B" w:rsidR="00903893" w:rsidRPr="00B97AF4" w:rsidRDefault="00903893" w:rsidP="0090389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7AF4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1FCB39BB" w14:textId="33F20D4F" w:rsidR="00903893" w:rsidRPr="00B97AF4" w:rsidRDefault="00903893" w:rsidP="009038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7AF4">
              <w:rPr>
                <w:rFonts w:asciiTheme="minorHAnsi" w:hAnsiTheme="minorHAnsi" w:cstheme="minorHAnsi"/>
                <w:sz w:val="22"/>
                <w:szCs w:val="22"/>
              </w:rPr>
              <w:t>3. Kamienie milowe</w:t>
            </w:r>
          </w:p>
        </w:tc>
        <w:tc>
          <w:tcPr>
            <w:tcW w:w="5245" w:type="dxa"/>
            <w:shd w:val="clear" w:color="auto" w:fill="auto"/>
          </w:tcPr>
          <w:p w14:paraId="5272790C" w14:textId="4268830E" w:rsidR="00903893" w:rsidRPr="00B97AF4" w:rsidRDefault="00903893" w:rsidP="009038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03536">
              <w:rPr>
                <w:rFonts w:ascii="Calibri" w:hAnsi="Calibri" w:cs="Calibri"/>
                <w:sz w:val="22"/>
                <w:szCs w:val="22"/>
              </w:rPr>
              <w:t>Należy uwzględnić termin planowanej migracji zasobów do portalu KRONIK@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0C9AB175" w14:textId="3E78995C" w:rsidR="00903893" w:rsidRPr="00B97AF4" w:rsidRDefault="00903893" w:rsidP="009038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>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oszę o analizę i korektę</w:t>
            </w: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 xml:space="preserve"> opisu założeń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336" w:type="dxa"/>
          </w:tcPr>
          <w:p w14:paraId="25967ECB" w14:textId="528CFD0F" w:rsidR="00903893" w:rsidRPr="00B97AF4" w:rsidRDefault="00DF4778" w:rsidP="007A5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Dodano</w:t>
            </w:r>
            <w:r w:rsidR="00855812">
              <w:rPr>
                <w:rFonts w:asciiTheme="minorHAnsi" w:hAnsiTheme="minorHAnsi" w:cstheme="minorHAnsi"/>
                <w:sz w:val="22"/>
                <w:szCs w:val="22"/>
              </w:rPr>
              <w:t xml:space="preserve"> kamień milowy pn.: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Migracja danych do KRONIK@</w:t>
            </w:r>
            <w:r w:rsidR="005F6DE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A545F" w:rsidRPr="00B97AF4" w14:paraId="0E0E2898" w14:textId="77777777" w:rsidTr="007E5E9D">
        <w:trPr>
          <w:gridAfter w:val="1"/>
          <w:wAfter w:w="24" w:type="dxa"/>
        </w:trPr>
        <w:tc>
          <w:tcPr>
            <w:tcW w:w="562" w:type="dxa"/>
            <w:shd w:val="clear" w:color="auto" w:fill="auto"/>
          </w:tcPr>
          <w:p w14:paraId="3FD0C571" w14:textId="77777777" w:rsidR="006A545F" w:rsidRPr="00B97AF4" w:rsidRDefault="006A545F" w:rsidP="006A545F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7335D7C" w14:textId="570BA148" w:rsidR="006A545F" w:rsidRPr="00B97AF4" w:rsidRDefault="006A545F" w:rsidP="006A545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18964B4C" w14:textId="6CE84D17" w:rsidR="006A545F" w:rsidRPr="00B97AF4" w:rsidRDefault="006A545F" w:rsidP="006A545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4.2 Wykaz poszczególnych pozycji kosztowych</w:t>
            </w:r>
          </w:p>
        </w:tc>
        <w:tc>
          <w:tcPr>
            <w:tcW w:w="5245" w:type="dxa"/>
            <w:shd w:val="clear" w:color="auto" w:fill="auto"/>
          </w:tcPr>
          <w:p w14:paraId="539843CA" w14:textId="77777777" w:rsidR="006A545F" w:rsidRDefault="006A545F" w:rsidP="006A54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17D9">
              <w:rPr>
                <w:rFonts w:asciiTheme="minorHAnsi" w:hAnsiTheme="minorHAnsi" w:cstheme="minorHAnsi"/>
                <w:sz w:val="22"/>
                <w:szCs w:val="22"/>
              </w:rPr>
              <w:t xml:space="preserve">Projekt o wartości niemal 65 mln zł przy czym na działania digitalizacyjne (w tym usługi i wynagrodzenia) przewidziano około 33,7 mln (ujęte w pozycji oprogramowanie). Pozostałe koszty wydają się być powiązane z zadaniem polegającym na tworzeniu oprogramowania. </w:t>
            </w:r>
          </w:p>
          <w:p w14:paraId="575BDE94" w14:textId="17AFF009" w:rsidR="006A545F" w:rsidRPr="005917D9" w:rsidRDefault="006A545F" w:rsidP="006A54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17D9">
              <w:rPr>
                <w:rFonts w:asciiTheme="minorHAnsi" w:hAnsiTheme="minorHAnsi" w:cstheme="minorHAnsi"/>
                <w:sz w:val="22"/>
                <w:szCs w:val="22"/>
              </w:rPr>
              <w:t>Pytanie ogólne – czy tego typu projekt wpisuje się w pełni w działanie FERC.02.03 czy nie powinien zostać podzielony na dwa projekty, jeden finansowany w ramach tego działania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5917D9">
              <w:rPr>
                <w:rFonts w:asciiTheme="minorHAnsi" w:hAnsiTheme="minorHAnsi" w:cstheme="minorHAnsi"/>
                <w:sz w:val="22"/>
                <w:szCs w:val="22"/>
              </w:rPr>
              <w:t xml:space="preserve"> a drugi w ramach działania dotyczącego przygotowania e-usług.</w:t>
            </w:r>
          </w:p>
          <w:p w14:paraId="58D34FA4" w14:textId="136D70E8" w:rsidR="006A545F" w:rsidRPr="00B97AF4" w:rsidRDefault="006A545F" w:rsidP="006A54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17D9">
              <w:rPr>
                <w:rFonts w:asciiTheme="minorHAnsi" w:hAnsiTheme="minorHAnsi" w:cstheme="minorHAnsi"/>
                <w:sz w:val="22"/>
                <w:szCs w:val="22"/>
              </w:rPr>
              <w:t>Ponadto NID w drugim składanym wniosku (Digitalizacja i cyfrowe udostępnianie dokumentacji w obszarze ochrony zabytków (w tym dokumentacji archiwalnej) w województwach: lubuskim, małopolskim, mazowieckim, opolskim, podlaskim) wprost wskazał, że projekt dotyczący Platformy Danych Przestrzennych o Zabytkach jest projektem „koncentrującym się na rozbudowie systemu NID).</w:t>
            </w:r>
          </w:p>
        </w:tc>
        <w:tc>
          <w:tcPr>
            <w:tcW w:w="2268" w:type="dxa"/>
            <w:shd w:val="clear" w:color="auto" w:fill="auto"/>
          </w:tcPr>
          <w:p w14:paraId="3DA326C9" w14:textId="3680DE6B" w:rsidR="006A545F" w:rsidRPr="00B97AF4" w:rsidRDefault="006A545F" w:rsidP="006A545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7AF4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4336" w:type="dxa"/>
          </w:tcPr>
          <w:p w14:paraId="6DF856D5" w14:textId="49EC9010" w:rsidR="00BC52D3" w:rsidRDefault="007B074F" w:rsidP="007A5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Celem projektu jest digitalizacja</w:t>
            </w:r>
            <w:r w:rsidR="002F120A">
              <w:rPr>
                <w:rFonts w:asciiTheme="minorHAnsi" w:hAnsiTheme="minorHAnsi" w:cstheme="minorHAnsi"/>
                <w:sz w:val="22"/>
                <w:szCs w:val="22"/>
              </w:rPr>
              <w:t xml:space="preserve"> 3D zabytków archeologicznych i architektonicznych oraz</w:t>
            </w:r>
            <w:r w:rsidR="0072078F">
              <w:rPr>
                <w:rFonts w:asciiTheme="minorHAnsi" w:hAnsiTheme="minorHAnsi" w:cstheme="minorHAnsi"/>
                <w:sz w:val="22"/>
                <w:szCs w:val="22"/>
              </w:rPr>
              <w:t xml:space="preserve"> udostępnianie </w:t>
            </w:r>
            <w:r w:rsidR="00F27D7C">
              <w:rPr>
                <w:rFonts w:asciiTheme="minorHAnsi" w:hAnsiTheme="minorHAnsi" w:cstheme="minorHAnsi"/>
                <w:sz w:val="22"/>
                <w:szCs w:val="22"/>
              </w:rPr>
              <w:t xml:space="preserve">uzyskanych </w:t>
            </w:r>
            <w:r w:rsidR="0072078F">
              <w:rPr>
                <w:rFonts w:asciiTheme="minorHAnsi" w:hAnsiTheme="minorHAnsi" w:cstheme="minorHAnsi"/>
                <w:sz w:val="22"/>
                <w:szCs w:val="22"/>
              </w:rPr>
              <w:t>produktów procesu digitalizacji.</w:t>
            </w:r>
            <w:r w:rsidR="00D16BA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9696D">
              <w:rPr>
                <w:rFonts w:asciiTheme="minorHAnsi" w:hAnsiTheme="minorHAnsi" w:cstheme="minorHAnsi"/>
                <w:sz w:val="22"/>
                <w:szCs w:val="22"/>
              </w:rPr>
              <w:t>Warunkiem udostępnieni</w:t>
            </w:r>
            <w:r w:rsidR="005F6DE2">
              <w:rPr>
                <w:rFonts w:asciiTheme="minorHAnsi" w:hAnsiTheme="minorHAnsi" w:cstheme="minorHAnsi"/>
                <w:sz w:val="22"/>
                <w:szCs w:val="22"/>
              </w:rPr>
              <w:t>a,</w:t>
            </w:r>
            <w:r w:rsidR="00A9696D">
              <w:rPr>
                <w:rFonts w:asciiTheme="minorHAnsi" w:hAnsiTheme="minorHAnsi" w:cstheme="minorHAnsi"/>
                <w:sz w:val="22"/>
                <w:szCs w:val="22"/>
              </w:rPr>
              <w:t xml:space="preserve"> jest zapewnienie odpowiedniego zaplecza IT, które </w:t>
            </w:r>
            <w:r w:rsidR="00F27D7C">
              <w:rPr>
                <w:rFonts w:asciiTheme="minorHAnsi" w:hAnsiTheme="minorHAnsi" w:cstheme="minorHAnsi"/>
                <w:sz w:val="22"/>
                <w:szCs w:val="22"/>
              </w:rPr>
              <w:t>pozwoli na właściwe przetwarzanie</w:t>
            </w:r>
            <w:r w:rsidR="00E12384">
              <w:rPr>
                <w:rFonts w:asciiTheme="minorHAnsi" w:hAnsiTheme="minorHAnsi" w:cstheme="minorHAnsi"/>
                <w:sz w:val="22"/>
                <w:szCs w:val="22"/>
              </w:rPr>
              <w:t xml:space="preserve">, przechowywanie, </w:t>
            </w:r>
            <w:r w:rsidR="00F27D7C">
              <w:rPr>
                <w:rFonts w:asciiTheme="minorHAnsi" w:hAnsiTheme="minorHAnsi" w:cstheme="minorHAnsi"/>
                <w:sz w:val="22"/>
                <w:szCs w:val="22"/>
              </w:rPr>
              <w:t>wizualizację</w:t>
            </w:r>
            <w:r w:rsidR="00E12384">
              <w:rPr>
                <w:rFonts w:asciiTheme="minorHAnsi" w:hAnsiTheme="minorHAnsi" w:cstheme="minorHAnsi"/>
                <w:sz w:val="22"/>
                <w:szCs w:val="22"/>
              </w:rPr>
              <w:t xml:space="preserve"> oraz analizę</w:t>
            </w:r>
            <w:r w:rsidR="00F27D7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C52D3">
              <w:rPr>
                <w:rFonts w:asciiTheme="minorHAnsi" w:hAnsiTheme="minorHAnsi" w:cstheme="minorHAnsi"/>
                <w:sz w:val="22"/>
                <w:szCs w:val="22"/>
              </w:rPr>
              <w:t>danych przestrzennych. W tym celu niezbędna jest rozbudowa Systemu NID, który</w:t>
            </w:r>
            <w:r w:rsidR="00E05B9D">
              <w:rPr>
                <w:rFonts w:asciiTheme="minorHAnsi" w:hAnsiTheme="minorHAnsi" w:cstheme="minorHAnsi"/>
                <w:sz w:val="22"/>
                <w:szCs w:val="22"/>
              </w:rPr>
              <w:t xml:space="preserve"> aktualnie</w:t>
            </w:r>
            <w:r w:rsidR="00BC52D3">
              <w:rPr>
                <w:rFonts w:asciiTheme="minorHAnsi" w:hAnsiTheme="minorHAnsi" w:cstheme="minorHAnsi"/>
                <w:sz w:val="22"/>
                <w:szCs w:val="22"/>
              </w:rPr>
              <w:t xml:space="preserve"> nie posiada narzędzi</w:t>
            </w:r>
            <w:r w:rsidR="00163643">
              <w:rPr>
                <w:rFonts w:asciiTheme="minorHAnsi" w:hAnsiTheme="minorHAnsi" w:cstheme="minorHAnsi"/>
                <w:sz w:val="22"/>
                <w:szCs w:val="22"/>
              </w:rPr>
              <w:t xml:space="preserve"> specyficznie związanych z funkcjami obsługującymi trójwymiarowe dane przestrzenne</w:t>
            </w:r>
            <w:r w:rsidR="00BC52D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4E27297B" w14:textId="37BF9745" w:rsidR="00F36998" w:rsidRDefault="00E12384" w:rsidP="007A5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związku z powyższym, </w:t>
            </w:r>
            <w:r w:rsidR="000B4EAA">
              <w:rPr>
                <w:rFonts w:asciiTheme="minorHAnsi" w:hAnsiTheme="minorHAnsi" w:cstheme="minorHAnsi"/>
                <w:sz w:val="22"/>
                <w:szCs w:val="22"/>
              </w:rPr>
              <w:t>rozbudowa Systemu NID w ramach przedmiotowego projektu</w:t>
            </w:r>
            <w:r w:rsidR="00FF529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7652C4">
              <w:rPr>
                <w:rFonts w:asciiTheme="minorHAnsi" w:hAnsiTheme="minorHAnsi" w:cstheme="minorHAnsi"/>
                <w:sz w:val="22"/>
                <w:szCs w:val="22"/>
              </w:rPr>
              <w:t xml:space="preserve"> stanowi warunek osiągnięcia</w:t>
            </w:r>
            <w:r w:rsidR="007F1E75">
              <w:rPr>
                <w:rFonts w:asciiTheme="minorHAnsi" w:hAnsiTheme="minorHAnsi" w:cstheme="minorHAnsi"/>
                <w:sz w:val="22"/>
                <w:szCs w:val="22"/>
              </w:rPr>
              <w:t xml:space="preserve"> zakładanych celów, które wpisują się w </w:t>
            </w:r>
            <w:r w:rsidR="00444008">
              <w:rPr>
                <w:rFonts w:asciiTheme="minorHAnsi" w:hAnsiTheme="minorHAnsi" w:cstheme="minorHAnsi"/>
                <w:sz w:val="22"/>
                <w:szCs w:val="22"/>
              </w:rPr>
              <w:t>działanie FERC.02.03.</w:t>
            </w:r>
          </w:p>
          <w:p w14:paraId="69CF65FB" w14:textId="45DD1151" w:rsidR="00444008" w:rsidRDefault="00F36998" w:rsidP="007A5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Poza tym, rozbudowa Systemu NID nie jest nakierowana na e-usługi w rozumieniu programu FERC. Tym samym</w:t>
            </w:r>
            <w:r w:rsidR="006939B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podział projektu </w:t>
            </w:r>
            <w:r w:rsidR="001E7F37">
              <w:rPr>
                <w:rFonts w:asciiTheme="minorHAnsi" w:hAnsiTheme="minorHAnsi" w:cstheme="minorHAnsi"/>
                <w:sz w:val="22"/>
                <w:szCs w:val="22"/>
              </w:rPr>
              <w:t>na dwa odrębne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1E7F37">
              <w:rPr>
                <w:rFonts w:asciiTheme="minorHAnsi" w:hAnsiTheme="minorHAnsi" w:cstheme="minorHAnsi"/>
                <w:sz w:val="22"/>
                <w:szCs w:val="22"/>
              </w:rPr>
              <w:t xml:space="preserve"> wpisujące się w różne </w:t>
            </w:r>
            <w:r w:rsidR="001E7F3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działania programu FERC</w:t>
            </w:r>
            <w:r w:rsidR="006939B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1E7F37">
              <w:rPr>
                <w:rFonts w:asciiTheme="minorHAnsi" w:hAnsiTheme="minorHAnsi" w:cstheme="minorHAnsi"/>
                <w:sz w:val="22"/>
                <w:szCs w:val="22"/>
              </w:rPr>
              <w:t xml:space="preserve"> nie jest </w:t>
            </w:r>
            <w:r w:rsidR="00E22B3C">
              <w:rPr>
                <w:rFonts w:asciiTheme="minorHAnsi" w:hAnsiTheme="minorHAnsi" w:cstheme="minorHAnsi"/>
                <w:sz w:val="22"/>
                <w:szCs w:val="22"/>
              </w:rPr>
              <w:t>ani możliwy ani uzasadniony.</w:t>
            </w:r>
            <w:r w:rsidR="001E7F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713CF8D" w14:textId="57C6808E" w:rsidR="00444008" w:rsidRPr="00B97AF4" w:rsidRDefault="00444008" w:rsidP="007A5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645D1" w:rsidRPr="00B97AF4" w14:paraId="26472040" w14:textId="77777777" w:rsidTr="007E5E9D">
        <w:trPr>
          <w:gridAfter w:val="1"/>
          <w:wAfter w:w="24" w:type="dxa"/>
        </w:trPr>
        <w:tc>
          <w:tcPr>
            <w:tcW w:w="562" w:type="dxa"/>
            <w:shd w:val="clear" w:color="auto" w:fill="auto"/>
          </w:tcPr>
          <w:p w14:paraId="234A6C08" w14:textId="77777777" w:rsidR="004645D1" w:rsidRPr="00B97AF4" w:rsidRDefault="004645D1" w:rsidP="004645D1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91F2AFF" w14:textId="1EA65098" w:rsidR="004645D1" w:rsidRPr="00B97AF4" w:rsidRDefault="004645D1" w:rsidP="004645D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7AF4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3BC16C67" w14:textId="27F13DDE" w:rsidR="004645D1" w:rsidRPr="00B97AF4" w:rsidRDefault="004645D1" w:rsidP="004645D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6F13">
              <w:rPr>
                <w:rFonts w:ascii="Calibri" w:hAnsi="Calibri" w:cs="Calibri"/>
                <w:sz w:val="22"/>
                <w:szCs w:val="22"/>
              </w:rPr>
              <w:t>5.1. Ryzyka wpływające na realizację projekt</w:t>
            </w:r>
            <w:r>
              <w:rPr>
                <w:rFonts w:ascii="Calibri" w:hAnsi="Calibri" w:cs="Calibri"/>
                <w:sz w:val="22"/>
                <w:szCs w:val="22"/>
              </w:rPr>
              <w:t>u</w:t>
            </w:r>
          </w:p>
        </w:tc>
        <w:tc>
          <w:tcPr>
            <w:tcW w:w="5245" w:type="dxa"/>
            <w:shd w:val="clear" w:color="auto" w:fill="auto"/>
          </w:tcPr>
          <w:p w14:paraId="06687753" w14:textId="3257B847" w:rsidR="004645D1" w:rsidRPr="004645D1" w:rsidRDefault="004645D1" w:rsidP="004645D1">
            <w:pPr>
              <w:rPr>
                <w:rFonts w:ascii="Calibri" w:hAnsi="Calibri" w:cs="Calibri"/>
                <w:sz w:val="22"/>
                <w:szCs w:val="22"/>
              </w:rPr>
            </w:pPr>
            <w:r w:rsidRPr="004645D1">
              <w:rPr>
                <w:rFonts w:asciiTheme="minorHAnsi" w:hAnsiTheme="minorHAnsi" w:cstheme="minorHAnsi"/>
                <w:sz w:val="22"/>
                <w:szCs w:val="22"/>
              </w:rPr>
              <w:t>W kolumnie „Sposób zarządzania ryzykiem” dla ryzyka pn.: Efekt synergii przy realizacji równoległych projektów, należy wskazać</w:t>
            </w:r>
            <w:r w:rsidRPr="004645D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wyłącznie działania zarządcze (</w:t>
            </w:r>
            <w:r w:rsidRPr="004645D1">
              <w:rPr>
                <w:rFonts w:asciiTheme="minorHAnsi" w:hAnsiTheme="minorHAnsi" w:cstheme="minorHAnsi"/>
                <w:sz w:val="22"/>
                <w:szCs w:val="22"/>
              </w:rPr>
              <w:t>w punktach)</w:t>
            </w:r>
            <w:r w:rsidRPr="004645D1">
              <w:rPr>
                <w:rFonts w:ascii="Calibri" w:hAnsi="Calibri" w:cs="Calibri"/>
                <w:color w:val="000000"/>
                <w:sz w:val="22"/>
                <w:szCs w:val="22"/>
              </w:rPr>
              <w:t>, pozostałe zapisy są nadmiarowe.</w:t>
            </w:r>
          </w:p>
        </w:tc>
        <w:tc>
          <w:tcPr>
            <w:tcW w:w="2268" w:type="dxa"/>
            <w:shd w:val="clear" w:color="auto" w:fill="auto"/>
          </w:tcPr>
          <w:p w14:paraId="70B65EB3" w14:textId="19E3E758" w:rsidR="004645D1" w:rsidRPr="00B97AF4" w:rsidRDefault="004645D1" w:rsidP="004645D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7AF4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4336" w:type="dxa"/>
          </w:tcPr>
          <w:p w14:paraId="1F5BF808" w14:textId="31F21E6A" w:rsidR="004645D1" w:rsidRPr="00B97AF4" w:rsidRDefault="00642509" w:rsidP="007A5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 kolumny „Sposób zarządzania ryzykiem” usunięto wszystkie </w:t>
            </w:r>
            <w:r w:rsidR="00C31234">
              <w:rPr>
                <w:rFonts w:asciiTheme="minorHAnsi" w:hAnsiTheme="minorHAnsi" w:cstheme="minorHAnsi"/>
                <w:sz w:val="22"/>
                <w:szCs w:val="22"/>
              </w:rPr>
              <w:t>zapisy nadmiarowe.</w:t>
            </w:r>
          </w:p>
        </w:tc>
      </w:tr>
      <w:tr w:rsidR="00762D33" w:rsidRPr="00B97AF4" w14:paraId="58788DB2" w14:textId="77777777" w:rsidTr="007E5E9D">
        <w:trPr>
          <w:gridAfter w:val="1"/>
          <w:wAfter w:w="24" w:type="dxa"/>
        </w:trPr>
        <w:tc>
          <w:tcPr>
            <w:tcW w:w="562" w:type="dxa"/>
            <w:shd w:val="clear" w:color="auto" w:fill="auto"/>
          </w:tcPr>
          <w:p w14:paraId="1FBB1D08" w14:textId="7845F663" w:rsidR="00762D33" w:rsidRPr="00B97AF4" w:rsidRDefault="00762D33" w:rsidP="00762D33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8556DCE" w14:textId="26FC6DB2" w:rsidR="00762D33" w:rsidRPr="00B97AF4" w:rsidRDefault="00762D33" w:rsidP="00762D3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7AF4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306276FE" w14:textId="7B230C86" w:rsidR="00762D33" w:rsidRPr="00B97AF4" w:rsidRDefault="00762D33" w:rsidP="00762D3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7AF4">
              <w:rPr>
                <w:rFonts w:ascii="Calibri" w:hAnsi="Calibri" w:cs="Calibri"/>
                <w:sz w:val="22"/>
                <w:szCs w:val="22"/>
              </w:rPr>
              <w:t>6. Otoczenie prawne</w:t>
            </w:r>
          </w:p>
        </w:tc>
        <w:tc>
          <w:tcPr>
            <w:tcW w:w="5245" w:type="dxa"/>
            <w:shd w:val="clear" w:color="auto" w:fill="auto"/>
          </w:tcPr>
          <w:p w14:paraId="4C7BAB1D" w14:textId="0049597B" w:rsidR="00762D33" w:rsidRPr="004645D1" w:rsidRDefault="004645D1" w:rsidP="004645D1">
            <w:pPr>
              <w:spacing w:after="2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Nie</w:t>
            </w:r>
            <w:r w:rsidR="00762D33" w:rsidRPr="00B97AF4">
              <w:rPr>
                <w:rFonts w:ascii="Calibri" w:hAnsi="Calibri" w:cs="Calibri"/>
                <w:sz w:val="22"/>
                <w:szCs w:val="22"/>
              </w:rPr>
              <w:t xml:space="preserve"> wymieni</w:t>
            </w:r>
            <w:r>
              <w:rPr>
                <w:rFonts w:ascii="Calibri" w:hAnsi="Calibri" w:cs="Calibri"/>
                <w:sz w:val="22"/>
                <w:szCs w:val="22"/>
              </w:rPr>
              <w:t>ono</w:t>
            </w:r>
            <w:r w:rsidR="00762D33" w:rsidRPr="00B97AF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wszystkich</w:t>
            </w:r>
            <w:r w:rsidR="00762D33" w:rsidRPr="00B97AF4">
              <w:rPr>
                <w:rFonts w:ascii="Calibri" w:hAnsi="Calibri" w:cs="Calibri"/>
                <w:sz w:val="22"/>
                <w:szCs w:val="22"/>
              </w:rPr>
              <w:t xml:space="preserve"> akt</w:t>
            </w:r>
            <w:r>
              <w:rPr>
                <w:rFonts w:ascii="Calibri" w:hAnsi="Calibri" w:cs="Calibri"/>
                <w:sz w:val="22"/>
                <w:szCs w:val="22"/>
              </w:rPr>
              <w:t>ów</w:t>
            </w:r>
            <w:r w:rsidR="00762D33" w:rsidRPr="00B97AF4">
              <w:rPr>
                <w:rFonts w:ascii="Calibri" w:hAnsi="Calibri" w:cs="Calibri"/>
                <w:sz w:val="22"/>
                <w:szCs w:val="22"/>
              </w:rPr>
              <w:t xml:space="preserve"> prawn</w:t>
            </w:r>
            <w:r>
              <w:rPr>
                <w:rFonts w:ascii="Calibri" w:hAnsi="Calibri" w:cs="Calibri"/>
                <w:sz w:val="22"/>
                <w:szCs w:val="22"/>
              </w:rPr>
              <w:t>ych</w:t>
            </w:r>
            <w:r w:rsidR="00762D33" w:rsidRPr="00B97AF4">
              <w:rPr>
                <w:rFonts w:ascii="Calibri" w:hAnsi="Calibri" w:cs="Calibri"/>
                <w:sz w:val="22"/>
                <w:szCs w:val="22"/>
              </w:rPr>
              <w:t xml:space="preserve"> z zakresu informatyzacji, któr</w:t>
            </w:r>
            <w:r w:rsidR="006C200F">
              <w:rPr>
                <w:rFonts w:ascii="Calibri" w:hAnsi="Calibri" w:cs="Calibri"/>
                <w:sz w:val="22"/>
                <w:szCs w:val="22"/>
              </w:rPr>
              <w:t xml:space="preserve">ych </w:t>
            </w:r>
            <w:r w:rsidR="00762D33" w:rsidRPr="00B97AF4">
              <w:rPr>
                <w:rFonts w:ascii="Calibri" w:hAnsi="Calibri" w:cs="Calibri"/>
                <w:sz w:val="22"/>
                <w:szCs w:val="22"/>
              </w:rPr>
              <w:t>wdrożenie podlega realizowany projekt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3F606442" w14:textId="730BB280" w:rsidR="00762D33" w:rsidRPr="00B97AF4" w:rsidRDefault="00762D33" w:rsidP="00762D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7AF4">
              <w:rPr>
                <w:rFonts w:asciiTheme="minorHAnsi" w:hAnsiTheme="minorHAnsi" w:cstheme="minorHAnsi"/>
                <w:sz w:val="22"/>
                <w:szCs w:val="22"/>
              </w:rPr>
              <w:t>Proszę o analizę i uzupełnienie opisu założeń.</w:t>
            </w:r>
          </w:p>
        </w:tc>
        <w:tc>
          <w:tcPr>
            <w:tcW w:w="4336" w:type="dxa"/>
          </w:tcPr>
          <w:p w14:paraId="6FF300F4" w14:textId="135F8564" w:rsidR="00762D33" w:rsidRPr="00B97AF4" w:rsidRDefault="007A5745" w:rsidP="007A5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Wykaz aktów prawnych został uzupełniony</w:t>
            </w:r>
            <w:r w:rsidR="005F6DE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A545F" w:rsidRPr="00B97AF4" w14:paraId="57F885F2" w14:textId="77777777" w:rsidTr="007E5E9D">
        <w:trPr>
          <w:gridAfter w:val="1"/>
          <w:wAfter w:w="24" w:type="dxa"/>
        </w:trPr>
        <w:tc>
          <w:tcPr>
            <w:tcW w:w="562" w:type="dxa"/>
            <w:shd w:val="clear" w:color="auto" w:fill="auto"/>
          </w:tcPr>
          <w:p w14:paraId="3634B3EC" w14:textId="77777777" w:rsidR="006A545F" w:rsidRPr="00B97AF4" w:rsidRDefault="006A545F" w:rsidP="006A545F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EE735E2" w14:textId="3144A05D" w:rsidR="006A545F" w:rsidRPr="00B97AF4" w:rsidRDefault="006A545F" w:rsidP="006A545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270AEE14" w14:textId="6A4A2356" w:rsidR="006A545F" w:rsidRPr="00B97AF4" w:rsidRDefault="006A545F" w:rsidP="006A545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7.3</w:t>
            </w:r>
            <w:r w:rsidR="00EC591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Przyjęte założenia technologiczne</w:t>
            </w:r>
          </w:p>
        </w:tc>
        <w:tc>
          <w:tcPr>
            <w:tcW w:w="5245" w:type="dxa"/>
            <w:shd w:val="clear" w:color="auto" w:fill="auto"/>
          </w:tcPr>
          <w:p w14:paraId="259B25F7" w14:textId="77777777" w:rsidR="006A545F" w:rsidRPr="005917D9" w:rsidRDefault="006A545F" w:rsidP="006A54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17D9">
              <w:rPr>
                <w:rFonts w:asciiTheme="minorHAnsi" w:hAnsiTheme="minorHAnsi" w:cstheme="minorHAnsi"/>
                <w:sz w:val="22"/>
                <w:szCs w:val="22"/>
              </w:rPr>
              <w:t>W standardach wymiany danych wskazano usługi OGC – prosimy o wskazanie konkretnych (np. WMS, WFS, WCS, CSW).</w:t>
            </w:r>
          </w:p>
          <w:p w14:paraId="4C0C3731" w14:textId="77777777" w:rsidR="006A545F" w:rsidRPr="005917D9" w:rsidRDefault="006A545F" w:rsidP="006A54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17D9">
              <w:rPr>
                <w:rFonts w:asciiTheme="minorHAnsi" w:hAnsiTheme="minorHAnsi" w:cstheme="minorHAnsi"/>
                <w:sz w:val="22"/>
                <w:szCs w:val="22"/>
              </w:rPr>
              <w:t>Czy w ramach projektu będą wykorzystywane jeszcze inne standardy metadanych?</w:t>
            </w:r>
          </w:p>
          <w:p w14:paraId="695C39F9" w14:textId="77777777" w:rsidR="006A545F" w:rsidRDefault="006A545F" w:rsidP="006A545F">
            <w:pPr>
              <w:spacing w:after="24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1228F4F4" w14:textId="474403E2" w:rsidR="006A545F" w:rsidRPr="00B97AF4" w:rsidRDefault="006A545F" w:rsidP="006A545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7AF4">
              <w:rPr>
                <w:rFonts w:asciiTheme="minorHAnsi" w:hAnsiTheme="minorHAnsi" w:cstheme="minorHAnsi"/>
                <w:sz w:val="22"/>
                <w:szCs w:val="22"/>
              </w:rPr>
              <w:t>Proszę o analizę i uzupełnienie opisu założeń.</w:t>
            </w:r>
          </w:p>
        </w:tc>
        <w:tc>
          <w:tcPr>
            <w:tcW w:w="4336" w:type="dxa"/>
          </w:tcPr>
          <w:p w14:paraId="4849F2E8" w14:textId="6519C1C8" w:rsidR="006B3C71" w:rsidRPr="00B97AF4" w:rsidRDefault="006B3C71" w:rsidP="007A5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 usług OGC wykorzystywanych w Systemie NID należą usługi:</w:t>
            </w:r>
            <w:r w:rsidR="00AC270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917D9">
              <w:rPr>
                <w:rFonts w:asciiTheme="minorHAnsi" w:hAnsiTheme="minorHAnsi" w:cstheme="minorHAnsi"/>
                <w:sz w:val="22"/>
                <w:szCs w:val="22"/>
              </w:rPr>
              <w:t>WMS, WFS, WCS, CSW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620C9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1004B">
              <w:rPr>
                <w:rFonts w:asciiTheme="minorHAnsi" w:hAnsiTheme="minorHAnsi" w:cstheme="minorHAnsi"/>
                <w:sz w:val="22"/>
                <w:szCs w:val="22"/>
              </w:rPr>
              <w:t xml:space="preserve">W ramach projektu wykorzystywany będzie </w:t>
            </w:r>
            <w:r w:rsidR="00D63E90">
              <w:rPr>
                <w:rFonts w:asciiTheme="minorHAnsi" w:hAnsiTheme="minorHAnsi" w:cstheme="minorHAnsi"/>
                <w:sz w:val="22"/>
                <w:szCs w:val="22"/>
              </w:rPr>
              <w:t xml:space="preserve">również standard danych RDF </w:t>
            </w:r>
            <w:r w:rsidR="00D63E90" w:rsidRPr="00D63E90">
              <w:rPr>
                <w:rFonts w:asciiTheme="minorHAnsi" w:hAnsiTheme="minorHAnsi" w:cstheme="minorHAnsi"/>
                <w:sz w:val="22"/>
                <w:szCs w:val="22"/>
              </w:rPr>
              <w:t>(Resource Description Framework)</w:t>
            </w:r>
            <w:r w:rsidR="00D63E9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</w:tbl>
    <w:p w14:paraId="504E1C62" w14:textId="77777777" w:rsidR="00C64B1B" w:rsidRDefault="00C64B1B" w:rsidP="00C64B1B">
      <w:pPr>
        <w:jc w:val="center"/>
      </w:pPr>
    </w:p>
    <w:p w14:paraId="278AD98D" w14:textId="77777777" w:rsidR="007A5745" w:rsidRDefault="007A5745" w:rsidP="00186CED">
      <w:pPr>
        <w:jc w:val="center"/>
      </w:pPr>
    </w:p>
    <w:p w14:paraId="733F7162" w14:textId="77777777" w:rsidR="007A5745" w:rsidRPr="00473EC2" w:rsidRDefault="007A5745" w:rsidP="00186CED">
      <w:pPr>
        <w:jc w:val="center"/>
        <w:rPr>
          <w:rFonts w:asciiTheme="minorHAnsi" w:hAnsiTheme="minorHAnsi" w:cstheme="minorHAnsi"/>
          <w:b/>
          <w:bCs/>
        </w:rPr>
      </w:pPr>
    </w:p>
    <w:p w14:paraId="72F39135" w14:textId="350D4FB7" w:rsidR="00473EC2" w:rsidRPr="00473EC2" w:rsidRDefault="00473EC2" w:rsidP="00473EC2">
      <w:pPr>
        <w:rPr>
          <w:rFonts w:asciiTheme="minorHAnsi" w:hAnsiTheme="minorHAnsi" w:cstheme="minorHAnsi"/>
          <w:b/>
          <w:bCs/>
        </w:rPr>
      </w:pPr>
      <w:r w:rsidRPr="00473EC2">
        <w:rPr>
          <w:rFonts w:asciiTheme="minorHAnsi" w:hAnsiTheme="minorHAnsi" w:cstheme="minorHAnsi"/>
          <w:b/>
          <w:bCs/>
        </w:rPr>
        <w:t>Zestaw 2:</w:t>
      </w:r>
    </w:p>
    <w:p w14:paraId="793F6B37" w14:textId="1D737F9E" w:rsidR="00186CED" w:rsidRPr="00473EC2" w:rsidRDefault="00186CED" w:rsidP="00473EC2">
      <w:pPr>
        <w:rPr>
          <w:rFonts w:asciiTheme="minorHAnsi" w:hAnsiTheme="minorHAnsi" w:cstheme="minorHAnsi"/>
          <w:b/>
          <w:bCs/>
        </w:rPr>
      </w:pPr>
      <w:r w:rsidRPr="00473EC2">
        <w:rPr>
          <w:rFonts w:asciiTheme="minorHAnsi" w:hAnsiTheme="minorHAnsi" w:cstheme="minorHAnsi"/>
          <w:b/>
          <w:bCs/>
        </w:rPr>
        <w:t xml:space="preserve">Odniesienie do uwag przekazanych w załączeniu do pisma </w:t>
      </w:r>
      <w:r w:rsidR="009B5DF9" w:rsidRPr="00473EC2">
        <w:rPr>
          <w:rFonts w:asciiTheme="minorHAnsi" w:hAnsiTheme="minorHAnsi" w:cstheme="minorHAnsi"/>
          <w:b/>
          <w:bCs/>
        </w:rPr>
        <w:t xml:space="preserve">Naczelnej Dyrekcji Archiwów Państwowych </w:t>
      </w:r>
      <w:r w:rsidR="00A005A3" w:rsidRPr="00473EC2">
        <w:rPr>
          <w:rFonts w:asciiTheme="minorHAnsi" w:hAnsiTheme="minorHAnsi" w:cstheme="minorHAnsi"/>
          <w:b/>
          <w:bCs/>
        </w:rPr>
        <w:t>z dnia 16.12.2024r. o numerze DIA.007.1.2024</w:t>
      </w:r>
    </w:p>
    <w:p w14:paraId="475FB9BB" w14:textId="77777777" w:rsidR="00186CED" w:rsidRDefault="00186CED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245"/>
        <w:gridCol w:w="2268"/>
        <w:gridCol w:w="4336"/>
      </w:tblGrid>
      <w:tr w:rsidR="00186CED" w:rsidRPr="00A06425" w14:paraId="770344D4" w14:textId="77777777" w:rsidTr="008C4D85">
        <w:tc>
          <w:tcPr>
            <w:tcW w:w="15388" w:type="dxa"/>
            <w:gridSpan w:val="6"/>
            <w:shd w:val="clear" w:color="auto" w:fill="auto"/>
            <w:vAlign w:val="center"/>
          </w:tcPr>
          <w:p w14:paraId="3DFEE77C" w14:textId="77777777" w:rsidR="00186CED" w:rsidRPr="00107925" w:rsidRDefault="00186CED" w:rsidP="008C4D85">
            <w:pPr>
              <w:spacing w:before="120" w:after="12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644D48">
              <w:rPr>
                <w:rFonts w:asciiTheme="minorHAnsi" w:hAnsiTheme="minorHAnsi" w:cstheme="minorHAnsi"/>
                <w:b/>
                <w:iCs/>
                <w:sz w:val="22"/>
                <w:szCs w:val="22"/>
                <w:u w:val="single"/>
              </w:rPr>
              <w:t>Nazwa dokumentu: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AB281E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Opis założeń projektu informacyjnego „</w:t>
            </w:r>
            <w:r w:rsidRPr="003B312A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Digitalizacja i udostępnianie trójwymiarowych zasobów dziedzictwa architektonicznego i archeologicznego oraz budowa Zintegrowanej Platformy Danych Przestrzennych o Zabytkach”</w:t>
            </w:r>
          </w:p>
        </w:tc>
      </w:tr>
      <w:tr w:rsidR="00186CED" w:rsidRPr="00A06425" w14:paraId="56A50D8A" w14:textId="77777777" w:rsidTr="007E5E9D">
        <w:tc>
          <w:tcPr>
            <w:tcW w:w="562" w:type="dxa"/>
            <w:shd w:val="clear" w:color="auto" w:fill="auto"/>
            <w:vAlign w:val="center"/>
          </w:tcPr>
          <w:p w14:paraId="53746F7A" w14:textId="77777777" w:rsidR="00186CED" w:rsidRPr="00A06425" w:rsidRDefault="00186CED" w:rsidP="008C4D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E57BE7" w14:textId="77777777" w:rsidR="00186CED" w:rsidRPr="00A06425" w:rsidRDefault="00186CED" w:rsidP="008C4D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CF2BED" w14:textId="77777777" w:rsidR="00186CED" w:rsidRPr="00A06425" w:rsidRDefault="00186CED" w:rsidP="008C4D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0D5093A" w14:textId="77777777" w:rsidR="00186CED" w:rsidRPr="00A06425" w:rsidRDefault="00186CED" w:rsidP="008C4D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7CFBFA6" w14:textId="77777777" w:rsidR="00186CED" w:rsidRPr="00A06425" w:rsidRDefault="00186CED" w:rsidP="008C4D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4336" w:type="dxa"/>
            <w:vAlign w:val="center"/>
          </w:tcPr>
          <w:p w14:paraId="07F82B62" w14:textId="77777777" w:rsidR="00186CED" w:rsidRPr="00A06425" w:rsidRDefault="00186CED" w:rsidP="008C4D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186CED" w:rsidRPr="00A06425" w14:paraId="7B7BDE47" w14:textId="77777777" w:rsidTr="007E5E9D">
        <w:tc>
          <w:tcPr>
            <w:tcW w:w="562" w:type="dxa"/>
            <w:shd w:val="clear" w:color="auto" w:fill="auto"/>
            <w:vAlign w:val="center"/>
          </w:tcPr>
          <w:p w14:paraId="15055727" w14:textId="77777777" w:rsidR="00186CED" w:rsidRPr="00843EE9" w:rsidRDefault="00186CED" w:rsidP="008C4D85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43EE9">
              <w:rPr>
                <w:rFonts w:asciiTheme="minorHAnsi" w:hAnsiTheme="minorHAnsi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ED3BDA" w14:textId="77777777" w:rsidR="00186CED" w:rsidRDefault="00186CED" w:rsidP="008C4D8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01DD504" w14:textId="77777777" w:rsidR="00186CED" w:rsidRPr="00107925" w:rsidRDefault="00186CED" w:rsidP="008C4D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7925">
              <w:rPr>
                <w:rFonts w:asciiTheme="minorHAnsi" w:hAnsiTheme="minorHAnsi" w:cstheme="minorHAnsi"/>
                <w:sz w:val="22"/>
                <w:szCs w:val="22"/>
              </w:rPr>
              <w:t xml:space="preserve">1.1. Identyfikacja problemu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07925">
              <w:rPr>
                <w:rFonts w:asciiTheme="minorHAnsi" w:hAnsiTheme="minorHAnsi" w:cstheme="minorHAnsi"/>
                <w:sz w:val="22"/>
                <w:szCs w:val="22"/>
              </w:rPr>
              <w:t>i potrzeb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381C47B" w14:textId="77777777" w:rsidR="00186CED" w:rsidRDefault="00186CED" w:rsidP="008C4D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Mimo, że opiniowany projekt dotyczy </w:t>
            </w:r>
            <w:r w:rsidRPr="00673A36">
              <w:rPr>
                <w:rFonts w:asciiTheme="minorHAnsi" w:hAnsiTheme="minorHAnsi" w:cstheme="minorHAnsi"/>
                <w:sz w:val="22"/>
                <w:szCs w:val="22"/>
              </w:rPr>
              <w:t>digitalizacj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673A36">
              <w:rPr>
                <w:rFonts w:asciiTheme="minorHAnsi" w:hAnsiTheme="minorHAnsi" w:cstheme="minorHAnsi"/>
                <w:sz w:val="22"/>
                <w:szCs w:val="22"/>
              </w:rPr>
              <w:t xml:space="preserve"> 3D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73A36">
              <w:rPr>
                <w:rFonts w:asciiTheme="minorHAnsi" w:hAnsiTheme="minorHAnsi" w:cstheme="minorHAnsi"/>
                <w:sz w:val="22"/>
                <w:szCs w:val="22"/>
              </w:rPr>
              <w:t>zabytków archeologicznych i architektonicznych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w jego treści są informacje o przewidzianej digitalizacji </w:t>
            </w:r>
            <w:r w:rsidRPr="00AD76B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dokument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acji w postaci</w:t>
            </w:r>
            <w:r w:rsidRPr="00AD76B3">
              <w:rPr>
                <w:rFonts w:asciiTheme="minorHAnsi" w:hAnsiTheme="minorHAnsi" w:cstheme="minorHAnsi"/>
                <w:sz w:val="22"/>
                <w:szCs w:val="22"/>
              </w:rPr>
              <w:t xml:space="preserve"> papierow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ej, przechowywanej w archiwum zakładowym Narodowego Instytutu Dziedzictwa. W opisie projektu brakuje informacji czy digitalizowane będą materiały archiwalne czy także dokumentacja niearchiwalna.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45B8E36" w14:textId="77777777" w:rsidR="00186CED" w:rsidRPr="00A06425" w:rsidRDefault="00186CED" w:rsidP="008C4D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Uzasadnionym byłoby skupienie się jedynie na </w:t>
            </w:r>
            <w:r w:rsidRPr="00673A36">
              <w:rPr>
                <w:rFonts w:asciiTheme="minorHAnsi" w:hAnsiTheme="minorHAnsi" w:cstheme="minorHAnsi"/>
                <w:sz w:val="22"/>
                <w:szCs w:val="22"/>
              </w:rPr>
              <w:t>digitalizacj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673A36">
              <w:rPr>
                <w:rFonts w:asciiTheme="minorHAnsi" w:hAnsiTheme="minorHAnsi" w:cstheme="minorHAnsi"/>
                <w:sz w:val="22"/>
                <w:szCs w:val="22"/>
              </w:rPr>
              <w:t xml:space="preserve"> 3D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73A3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zabytków archeologicznych i architektonicznych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336" w:type="dxa"/>
          </w:tcPr>
          <w:p w14:paraId="4E6C9FB2" w14:textId="6D69D73F" w:rsidR="0035620F" w:rsidRDefault="0050639B" w:rsidP="0050639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Potwierdzamy, że projekt skupia</w:t>
            </w:r>
            <w:r w:rsidR="00FE553C">
              <w:rPr>
                <w:rFonts w:asciiTheme="minorHAnsi" w:hAnsiTheme="minorHAnsi" w:cstheme="minorHAnsi"/>
                <w:sz w:val="22"/>
                <w:szCs w:val="22"/>
              </w:rPr>
              <w:t xml:space="preserve"> się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jedynie na digitalizacji </w:t>
            </w:r>
            <w:r w:rsidR="00FE553C">
              <w:rPr>
                <w:rFonts w:asciiTheme="minorHAnsi" w:hAnsiTheme="minorHAnsi" w:cstheme="minorHAnsi"/>
                <w:sz w:val="22"/>
                <w:szCs w:val="22"/>
              </w:rPr>
              <w:t xml:space="preserve">3D zabytków archeologicznych i architektonicznych. </w:t>
            </w:r>
            <w:r w:rsidR="00006354">
              <w:rPr>
                <w:rFonts w:asciiTheme="minorHAnsi" w:hAnsiTheme="minorHAnsi" w:cstheme="minorHAnsi"/>
                <w:sz w:val="22"/>
                <w:szCs w:val="22"/>
              </w:rPr>
              <w:t>Cyfrowa d</w:t>
            </w:r>
            <w:r w:rsidR="00FE553C">
              <w:rPr>
                <w:rFonts w:asciiTheme="minorHAnsi" w:hAnsiTheme="minorHAnsi" w:cstheme="minorHAnsi"/>
                <w:sz w:val="22"/>
                <w:szCs w:val="22"/>
              </w:rPr>
              <w:t xml:space="preserve">okumentacja </w:t>
            </w:r>
            <w:r w:rsidR="00FE553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2D</w:t>
            </w:r>
            <w:r w:rsidR="0035620F">
              <w:rPr>
                <w:rFonts w:asciiTheme="minorHAnsi" w:hAnsiTheme="minorHAnsi" w:cstheme="minorHAnsi"/>
                <w:sz w:val="22"/>
                <w:szCs w:val="22"/>
              </w:rPr>
              <w:t xml:space="preserve"> (np. PDF</w:t>
            </w:r>
            <w:r w:rsidR="00DE3397">
              <w:rPr>
                <w:rFonts w:asciiTheme="minorHAnsi" w:hAnsiTheme="minorHAnsi" w:cstheme="minorHAnsi"/>
                <w:sz w:val="22"/>
                <w:szCs w:val="22"/>
              </w:rPr>
              <w:t xml:space="preserve"> zwykły oraz PDF</w:t>
            </w:r>
            <w:r w:rsidR="003562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2346C">
              <w:rPr>
                <w:rFonts w:asciiTheme="minorHAnsi" w:hAnsiTheme="minorHAnsi" w:cstheme="minorHAnsi"/>
                <w:sz w:val="22"/>
                <w:szCs w:val="22"/>
              </w:rPr>
              <w:t>wielowarstwowy)</w:t>
            </w:r>
            <w:r w:rsidR="00FE553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439EB">
              <w:rPr>
                <w:rFonts w:asciiTheme="minorHAnsi" w:hAnsiTheme="minorHAnsi" w:cstheme="minorHAnsi"/>
                <w:sz w:val="22"/>
                <w:szCs w:val="22"/>
              </w:rPr>
              <w:t>jest</w:t>
            </w:r>
            <w:r w:rsidR="008625B7">
              <w:rPr>
                <w:rFonts w:asciiTheme="minorHAnsi" w:hAnsiTheme="minorHAnsi" w:cstheme="minorHAnsi"/>
                <w:sz w:val="22"/>
                <w:szCs w:val="22"/>
              </w:rPr>
              <w:t xml:space="preserve"> produkt</w:t>
            </w:r>
            <w:r w:rsidR="006439EB">
              <w:rPr>
                <w:rFonts w:asciiTheme="minorHAnsi" w:hAnsiTheme="minorHAnsi" w:cstheme="minorHAnsi"/>
                <w:sz w:val="22"/>
                <w:szCs w:val="22"/>
              </w:rPr>
              <w:t>em</w:t>
            </w:r>
            <w:r w:rsidR="009403B1">
              <w:rPr>
                <w:rFonts w:asciiTheme="minorHAnsi" w:hAnsiTheme="minorHAnsi" w:cstheme="minorHAnsi"/>
                <w:sz w:val="22"/>
                <w:szCs w:val="22"/>
              </w:rPr>
              <w:t xml:space="preserve"> typu </w:t>
            </w:r>
            <w:r w:rsidR="00DE3397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9403B1">
              <w:rPr>
                <w:rFonts w:asciiTheme="minorHAnsi" w:hAnsiTheme="minorHAnsi" w:cstheme="minorHAnsi"/>
                <w:sz w:val="22"/>
                <w:szCs w:val="22"/>
              </w:rPr>
              <w:t>born digital</w:t>
            </w:r>
            <w:r w:rsidR="00DE3397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9403B1">
              <w:rPr>
                <w:rFonts w:asciiTheme="minorHAnsi" w:hAnsiTheme="minorHAnsi" w:cstheme="minorHAnsi"/>
                <w:sz w:val="22"/>
                <w:szCs w:val="22"/>
              </w:rPr>
              <w:t>, k</w:t>
            </w:r>
            <w:r w:rsidR="001D585E">
              <w:rPr>
                <w:rFonts w:asciiTheme="minorHAnsi" w:hAnsiTheme="minorHAnsi" w:cstheme="minorHAnsi"/>
                <w:sz w:val="22"/>
                <w:szCs w:val="22"/>
              </w:rPr>
              <w:t xml:space="preserve">tóry tworzony będzie jako pochodny </w:t>
            </w:r>
            <w:r w:rsidR="0035620F">
              <w:rPr>
                <w:rFonts w:asciiTheme="minorHAnsi" w:hAnsiTheme="minorHAnsi" w:cstheme="minorHAnsi"/>
                <w:sz w:val="22"/>
                <w:szCs w:val="22"/>
              </w:rPr>
              <w:t>głównego procesu digitalizacji.</w:t>
            </w:r>
            <w:r w:rsidR="007704F6">
              <w:rPr>
                <w:rFonts w:asciiTheme="minorHAnsi" w:hAnsiTheme="minorHAnsi" w:cstheme="minorHAnsi"/>
                <w:sz w:val="22"/>
                <w:szCs w:val="22"/>
              </w:rPr>
              <w:t xml:space="preserve"> W</w:t>
            </w:r>
            <w:r w:rsidR="006439EB">
              <w:rPr>
                <w:rFonts w:asciiTheme="minorHAnsi" w:hAnsiTheme="minorHAnsi" w:cstheme="minorHAnsi"/>
                <w:sz w:val="22"/>
                <w:szCs w:val="22"/>
              </w:rPr>
              <w:t xml:space="preserve"> ramach projektu nie przewidziano digitalizacji </w:t>
            </w:r>
            <w:r w:rsidR="001244A7">
              <w:rPr>
                <w:rFonts w:asciiTheme="minorHAnsi" w:hAnsiTheme="minorHAnsi" w:cstheme="minorHAnsi"/>
                <w:sz w:val="22"/>
                <w:szCs w:val="22"/>
              </w:rPr>
              <w:t>zasobów archiwum zakładowego</w:t>
            </w:r>
            <w:r w:rsidR="007704F6">
              <w:rPr>
                <w:rFonts w:asciiTheme="minorHAnsi" w:hAnsiTheme="minorHAnsi" w:cstheme="minorHAnsi"/>
                <w:sz w:val="22"/>
                <w:szCs w:val="22"/>
              </w:rPr>
              <w:t xml:space="preserve"> NID.</w:t>
            </w:r>
          </w:p>
          <w:p w14:paraId="476B53D5" w14:textId="34471AF7" w:rsidR="00186CED" w:rsidRPr="00A06425" w:rsidRDefault="00006354" w:rsidP="0050639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186CED" w:rsidRPr="00A06425" w14:paraId="387B3C99" w14:textId="77777777" w:rsidTr="007E5E9D">
        <w:tc>
          <w:tcPr>
            <w:tcW w:w="562" w:type="dxa"/>
            <w:shd w:val="clear" w:color="auto" w:fill="auto"/>
            <w:vAlign w:val="center"/>
          </w:tcPr>
          <w:p w14:paraId="5A0B4A12" w14:textId="77777777" w:rsidR="00186CED" w:rsidRPr="00843EE9" w:rsidRDefault="00186CED" w:rsidP="008C4D85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2.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256D2D" w14:textId="77777777" w:rsidR="00186CED" w:rsidRDefault="00186CED" w:rsidP="008C4D8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52FA" w14:textId="77777777" w:rsidR="00186CED" w:rsidRPr="00107925" w:rsidRDefault="00186CED" w:rsidP="008C4D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6 Otoczenie prawne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35EF" w14:textId="77777777" w:rsidR="00186CED" w:rsidRDefault="00186CED" w:rsidP="008C4D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Należy dodać ustawę z dnia 14 lipca 1983 r. ponieważ udostępniane zasoby danych  mogą być materiałem archiwalnym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7E811" w14:textId="77777777" w:rsidR="00186CED" w:rsidRDefault="00186CED" w:rsidP="008C4D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Ustawa z dnia 14 lipca 1983 r. o narodowym zasobie archiwalnym i archiwach (Dz. U. z 2020 r. poz. 164)</w:t>
            </w:r>
          </w:p>
        </w:tc>
        <w:tc>
          <w:tcPr>
            <w:tcW w:w="4336" w:type="dxa"/>
          </w:tcPr>
          <w:p w14:paraId="336EB0A3" w14:textId="468C4194" w:rsidR="00186CED" w:rsidRPr="00A06425" w:rsidRDefault="00C3123C" w:rsidP="00473EC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Wskazany akt prawny uwzględniono w opisie projektu. </w:t>
            </w:r>
            <w:r w:rsidR="002C293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14:paraId="44459F59" w14:textId="77777777" w:rsidR="00186CED" w:rsidRDefault="00186CED" w:rsidP="00C64B1B">
      <w:pPr>
        <w:jc w:val="center"/>
      </w:pPr>
    </w:p>
    <w:p w14:paraId="5B1118A2" w14:textId="77777777" w:rsidR="00473EC2" w:rsidRDefault="00473EC2" w:rsidP="00667F83">
      <w:pPr>
        <w:jc w:val="center"/>
      </w:pPr>
    </w:p>
    <w:p w14:paraId="05EBBD69" w14:textId="77777777" w:rsidR="00473EC2" w:rsidRDefault="00473EC2" w:rsidP="00667F83">
      <w:pPr>
        <w:jc w:val="center"/>
      </w:pPr>
    </w:p>
    <w:p w14:paraId="4CD14BE6" w14:textId="77777777" w:rsidR="00473EC2" w:rsidRPr="00473EC2" w:rsidRDefault="00473EC2" w:rsidP="00473EC2">
      <w:pPr>
        <w:rPr>
          <w:rFonts w:asciiTheme="minorHAnsi" w:hAnsiTheme="minorHAnsi" w:cstheme="minorHAnsi"/>
          <w:b/>
          <w:bCs/>
        </w:rPr>
      </w:pPr>
      <w:r w:rsidRPr="00473EC2">
        <w:rPr>
          <w:rFonts w:asciiTheme="minorHAnsi" w:hAnsiTheme="minorHAnsi" w:cstheme="minorHAnsi"/>
          <w:b/>
          <w:bCs/>
        </w:rPr>
        <w:t>Zestaw 3:</w:t>
      </w:r>
    </w:p>
    <w:p w14:paraId="718B19BE" w14:textId="4F85A032" w:rsidR="00667F83" w:rsidRPr="00473EC2" w:rsidRDefault="00667F83" w:rsidP="00473EC2">
      <w:pPr>
        <w:rPr>
          <w:rFonts w:asciiTheme="minorHAnsi" w:hAnsiTheme="minorHAnsi" w:cstheme="minorHAnsi"/>
          <w:b/>
          <w:bCs/>
        </w:rPr>
      </w:pPr>
      <w:r w:rsidRPr="00473EC2">
        <w:rPr>
          <w:rFonts w:asciiTheme="minorHAnsi" w:hAnsiTheme="minorHAnsi" w:cstheme="minorHAnsi"/>
          <w:b/>
          <w:bCs/>
        </w:rPr>
        <w:t xml:space="preserve">Odniesienie do uwag przekazanych w załączeniu do pisma </w:t>
      </w:r>
      <w:r w:rsidR="00334D19" w:rsidRPr="00473EC2">
        <w:rPr>
          <w:rFonts w:asciiTheme="minorHAnsi" w:hAnsiTheme="minorHAnsi" w:cstheme="minorHAnsi"/>
          <w:b/>
          <w:bCs/>
        </w:rPr>
        <w:t>Ministerstwa Rozwoju i Technologii</w:t>
      </w:r>
      <w:r w:rsidRPr="00473EC2">
        <w:rPr>
          <w:rFonts w:asciiTheme="minorHAnsi" w:hAnsiTheme="minorHAnsi" w:cstheme="minorHAnsi"/>
          <w:b/>
          <w:bCs/>
        </w:rPr>
        <w:t xml:space="preserve"> z dnia 1</w:t>
      </w:r>
      <w:r w:rsidR="00334D19" w:rsidRPr="00473EC2">
        <w:rPr>
          <w:rFonts w:asciiTheme="minorHAnsi" w:hAnsiTheme="minorHAnsi" w:cstheme="minorHAnsi"/>
          <w:b/>
          <w:bCs/>
        </w:rPr>
        <w:t>7</w:t>
      </w:r>
      <w:r w:rsidRPr="00473EC2">
        <w:rPr>
          <w:rFonts w:asciiTheme="minorHAnsi" w:hAnsiTheme="minorHAnsi" w:cstheme="minorHAnsi"/>
          <w:b/>
          <w:bCs/>
        </w:rPr>
        <w:t xml:space="preserve">.12.2024r. o numerze </w:t>
      </w:r>
      <w:r w:rsidR="001D05FA" w:rsidRPr="00473EC2">
        <w:rPr>
          <w:rFonts w:asciiTheme="minorHAnsi" w:hAnsiTheme="minorHAnsi" w:cstheme="minorHAnsi"/>
          <w:b/>
          <w:bCs/>
        </w:rPr>
        <w:t>DGC-V.003.57.2024</w:t>
      </w:r>
    </w:p>
    <w:p w14:paraId="1F216052" w14:textId="77777777" w:rsidR="00667F83" w:rsidRDefault="00667F83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245"/>
        <w:gridCol w:w="2268"/>
        <w:gridCol w:w="4336"/>
      </w:tblGrid>
      <w:tr w:rsidR="00667F83" w:rsidRPr="00A06425" w14:paraId="6FE5CE84" w14:textId="77777777" w:rsidTr="008C4D85">
        <w:tc>
          <w:tcPr>
            <w:tcW w:w="15388" w:type="dxa"/>
            <w:gridSpan w:val="6"/>
            <w:shd w:val="clear" w:color="auto" w:fill="auto"/>
            <w:vAlign w:val="center"/>
          </w:tcPr>
          <w:p w14:paraId="12C62F23" w14:textId="77777777" w:rsidR="00667F83" w:rsidRPr="004925B1" w:rsidRDefault="00667F83" w:rsidP="008C4D85">
            <w:pPr>
              <w:spacing w:before="120" w:after="120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r w:rsidRPr="0076404C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Nazwa dokumentu: </w:t>
            </w:r>
            <w:r w:rsidRPr="004925B1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Digitalizacja i udostępnianie trójwymiarowych zasobów dziedzictwa</w:t>
            </w:r>
            <w:r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 </w:t>
            </w:r>
            <w:r w:rsidRPr="004925B1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architektonicznego i archeologicznego oraz budowa Platformy Danych</w:t>
            </w:r>
          </w:p>
          <w:p w14:paraId="580B0304" w14:textId="77777777" w:rsidR="00667F83" w:rsidRPr="00A06425" w:rsidRDefault="00667F83" w:rsidP="008C4D85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925B1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Przestrzennych o Zabytkach </w:t>
            </w:r>
            <w:r w:rsidRPr="004925B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– wnioskodawca: Minister Kultury i Dziedzictwa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4925B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Narodowego, beneficjent: Narodowy Instytut Dziedzictwa</w:t>
            </w:r>
          </w:p>
          <w:p w14:paraId="397F9E39" w14:textId="77777777" w:rsidR="00667F83" w:rsidRPr="00A06425" w:rsidRDefault="00667F83" w:rsidP="008C4D85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667F83" w:rsidRPr="00A06425" w14:paraId="75F00ECB" w14:textId="77777777" w:rsidTr="00C3123C">
        <w:tc>
          <w:tcPr>
            <w:tcW w:w="562" w:type="dxa"/>
            <w:shd w:val="clear" w:color="auto" w:fill="auto"/>
            <w:vAlign w:val="center"/>
          </w:tcPr>
          <w:p w14:paraId="5E3087AD" w14:textId="77777777" w:rsidR="00667F83" w:rsidRPr="00A06425" w:rsidRDefault="00667F83" w:rsidP="008C4D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D1DD14" w14:textId="77777777" w:rsidR="00667F83" w:rsidRPr="00A06425" w:rsidRDefault="00667F83" w:rsidP="008C4D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C1B0AF4" w14:textId="77777777" w:rsidR="00667F83" w:rsidRPr="00A06425" w:rsidRDefault="00667F83" w:rsidP="008C4D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47FFF70" w14:textId="77777777" w:rsidR="00667F83" w:rsidRPr="00A06425" w:rsidRDefault="00667F83" w:rsidP="008C4D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D7772DB" w14:textId="77777777" w:rsidR="00667F83" w:rsidRPr="00A06425" w:rsidRDefault="00667F83" w:rsidP="008C4D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4336" w:type="dxa"/>
            <w:vAlign w:val="center"/>
          </w:tcPr>
          <w:p w14:paraId="1A7E2F7A" w14:textId="77777777" w:rsidR="00667F83" w:rsidRPr="00A06425" w:rsidRDefault="00667F83" w:rsidP="008C4D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667F83" w:rsidRPr="00A06425" w14:paraId="2C4547D8" w14:textId="77777777" w:rsidTr="00C3123C">
        <w:tc>
          <w:tcPr>
            <w:tcW w:w="562" w:type="dxa"/>
            <w:shd w:val="clear" w:color="auto" w:fill="auto"/>
          </w:tcPr>
          <w:p w14:paraId="157479C9" w14:textId="77777777" w:rsidR="00667F83" w:rsidRPr="00A06425" w:rsidRDefault="00667F83" w:rsidP="008C4D8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070C732" w14:textId="77777777" w:rsidR="00667F83" w:rsidRPr="00A06425" w:rsidRDefault="00667F83" w:rsidP="008C4D8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7196A553" w14:textId="77777777" w:rsidR="00667F83" w:rsidRPr="00A06425" w:rsidRDefault="00667F83" w:rsidP="008C4D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Tabela str. 7 </w:t>
            </w:r>
          </w:p>
        </w:tc>
        <w:tc>
          <w:tcPr>
            <w:tcW w:w="5245" w:type="dxa"/>
            <w:shd w:val="clear" w:color="auto" w:fill="auto"/>
          </w:tcPr>
          <w:p w14:paraId="3B514B07" w14:textId="77777777" w:rsidR="00667F83" w:rsidRPr="00A06425" w:rsidRDefault="00667F83" w:rsidP="008C4D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4925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odniesieniu </w:t>
            </w:r>
            <w:r w:rsidRPr="004925B1">
              <w:rPr>
                <w:rFonts w:asciiTheme="minorHAnsi" w:hAnsiTheme="minorHAnsi" w:cstheme="minorHAnsi"/>
                <w:sz w:val="22"/>
                <w:szCs w:val="22"/>
              </w:rPr>
              <w:t xml:space="preserve">do danych zamieszczonych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925B1">
              <w:rPr>
                <w:rFonts w:asciiTheme="minorHAnsi" w:hAnsiTheme="minorHAnsi" w:cstheme="minorHAnsi"/>
                <w:sz w:val="22"/>
                <w:szCs w:val="22"/>
              </w:rPr>
              <w:t xml:space="preserve">w tabeli na stronie 7 dotyczących zbiorczej liczby Geodetów, Notariuszy, Rzeczoznawców majątkowych, Architektów, Urbanistów,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Ministerstwo Rozwoju i Technologii</w:t>
            </w:r>
            <w:r w:rsidRPr="004925B1">
              <w:rPr>
                <w:rFonts w:asciiTheme="minorHAnsi" w:hAnsiTheme="minorHAnsi" w:cstheme="minorHAnsi"/>
                <w:sz w:val="22"/>
                <w:szCs w:val="22"/>
              </w:rPr>
              <w:t xml:space="preserve"> informuje, że na dzień 13.12.2024 r. w centralnym rejestrze rzeczoznawców majątkowych figuruje 8411 osób posiadających uprawnienia zawodowe w zakresie szacowania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38B81858" w14:textId="77777777" w:rsidR="00667F83" w:rsidRPr="00A06425" w:rsidRDefault="00667F83" w:rsidP="008C4D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36" w:type="dxa"/>
          </w:tcPr>
          <w:p w14:paraId="098AC8C8" w14:textId="461AC86D" w:rsidR="00667F83" w:rsidRPr="00A06425" w:rsidRDefault="00CE5E8E" w:rsidP="00473EC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Zaktualizowano dane w opisie projektu na podstawie przekazan</w:t>
            </w:r>
            <w:r w:rsidR="002B0131">
              <w:rPr>
                <w:rFonts w:asciiTheme="minorHAnsi" w:hAnsiTheme="minorHAnsi" w:cstheme="minorHAnsi"/>
                <w:sz w:val="22"/>
                <w:szCs w:val="22"/>
              </w:rPr>
              <w:t>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informacji</w:t>
            </w:r>
            <w:r w:rsidR="005F6DE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67F83" w:rsidRPr="00A06425" w14:paraId="542CA22D" w14:textId="77777777" w:rsidTr="00C3123C">
        <w:tc>
          <w:tcPr>
            <w:tcW w:w="562" w:type="dxa"/>
            <w:shd w:val="clear" w:color="auto" w:fill="auto"/>
          </w:tcPr>
          <w:p w14:paraId="78E2033B" w14:textId="77777777" w:rsidR="00667F83" w:rsidRPr="00A06425" w:rsidRDefault="00667F83" w:rsidP="008C4D8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1134" w:type="dxa"/>
            <w:shd w:val="clear" w:color="auto" w:fill="auto"/>
          </w:tcPr>
          <w:p w14:paraId="11A2DF81" w14:textId="77777777" w:rsidR="00667F83" w:rsidRPr="00A06425" w:rsidRDefault="00667F83" w:rsidP="008C4D8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30650F16" w14:textId="77777777" w:rsidR="00667F83" w:rsidRPr="00A06425" w:rsidRDefault="00667F83" w:rsidP="008C4D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3FA3">
              <w:rPr>
                <w:rFonts w:asciiTheme="minorHAnsi" w:hAnsiTheme="minorHAnsi" w:cstheme="minorHAnsi"/>
                <w:sz w:val="22"/>
                <w:szCs w:val="22"/>
              </w:rPr>
              <w:t>Otoczen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ie </w:t>
            </w:r>
            <w:r w:rsidRPr="00413FA3">
              <w:rPr>
                <w:rFonts w:asciiTheme="minorHAnsi" w:hAnsiTheme="minorHAnsi" w:cstheme="minorHAnsi"/>
                <w:sz w:val="22"/>
                <w:szCs w:val="22"/>
              </w:rPr>
              <w:t>prawn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shd w:val="clear" w:color="auto" w:fill="auto"/>
          </w:tcPr>
          <w:p w14:paraId="300093D0" w14:textId="77777777" w:rsidR="00667F83" w:rsidRPr="00A06425" w:rsidRDefault="00667F83" w:rsidP="008C4D8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MRiT proponuje </w:t>
            </w:r>
            <w:r w:rsidRPr="00413FA3">
              <w:rPr>
                <w:rFonts w:asciiTheme="minorHAnsi" w:hAnsiTheme="minorHAnsi" w:cstheme="minorHAnsi"/>
                <w:sz w:val="22"/>
                <w:szCs w:val="22"/>
              </w:rPr>
              <w:t>uwzględnić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13FA3">
              <w:rPr>
                <w:rFonts w:asciiTheme="minorHAnsi" w:hAnsiTheme="minorHAnsi" w:cstheme="minorHAnsi"/>
                <w:sz w:val="22"/>
                <w:szCs w:val="22"/>
              </w:rPr>
              <w:t xml:space="preserve">rozporządzenie Parlamentu Europejskiego i Rady (UE) 2016/679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13FA3">
              <w:rPr>
                <w:rFonts w:asciiTheme="minorHAnsi" w:hAnsiTheme="minorHAnsi" w:cstheme="minorHAnsi"/>
                <w:sz w:val="22"/>
                <w:szCs w:val="22"/>
              </w:rPr>
              <w:t>z dnia 27 kwietnia 2016 r. w sprawie ochrony osób fizycznych w związku z przetwarzaniem danych osobowych i w sprawie swobodnego przepływu takich danych oraz uchylenia dyrektywy 95/46/WE (ogólne rozporządzenie o ochronie danych) (Dz. U. UE. L. z 2016 r. Nr 119, str. 1 z późn. zm.).</w:t>
            </w:r>
          </w:p>
        </w:tc>
        <w:tc>
          <w:tcPr>
            <w:tcW w:w="2268" w:type="dxa"/>
            <w:shd w:val="clear" w:color="auto" w:fill="auto"/>
          </w:tcPr>
          <w:p w14:paraId="21335DB8" w14:textId="77777777" w:rsidR="00667F83" w:rsidRPr="00A06425" w:rsidRDefault="00667F83" w:rsidP="008C4D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36" w:type="dxa"/>
          </w:tcPr>
          <w:p w14:paraId="4A9F1670" w14:textId="4DC67897" w:rsidR="00667F83" w:rsidRPr="00A06425" w:rsidRDefault="002B0131" w:rsidP="00473EC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Wskazany akt prawny uwzględniono w opisie projektu.  </w:t>
            </w:r>
          </w:p>
        </w:tc>
      </w:tr>
    </w:tbl>
    <w:p w14:paraId="5E037CE6" w14:textId="77777777" w:rsidR="00A005A3" w:rsidRDefault="00A005A3" w:rsidP="00C64B1B">
      <w:pPr>
        <w:jc w:val="center"/>
      </w:pPr>
    </w:p>
    <w:p w14:paraId="0D5D9086" w14:textId="77777777" w:rsidR="00667F83" w:rsidRDefault="00667F83" w:rsidP="00C64B1B">
      <w:pPr>
        <w:jc w:val="center"/>
      </w:pPr>
    </w:p>
    <w:p w14:paraId="5806AA75" w14:textId="77777777" w:rsidR="00667F83" w:rsidRDefault="00667F83" w:rsidP="00C64B1B">
      <w:pPr>
        <w:jc w:val="center"/>
      </w:pPr>
    </w:p>
    <w:p w14:paraId="6CB3EE28" w14:textId="77777777" w:rsidR="00A005A3" w:rsidRDefault="00A005A3" w:rsidP="00C64B1B">
      <w:pPr>
        <w:jc w:val="center"/>
      </w:pPr>
    </w:p>
    <w:p w14:paraId="7D8D19CD" w14:textId="77777777" w:rsidR="00473EC2" w:rsidRPr="00BC66D1" w:rsidRDefault="00473EC2" w:rsidP="00F161E2">
      <w:pPr>
        <w:jc w:val="both"/>
        <w:rPr>
          <w:rFonts w:asciiTheme="minorHAnsi" w:hAnsiTheme="minorHAnsi" w:cstheme="minorHAnsi"/>
        </w:rPr>
      </w:pPr>
      <w:r w:rsidRPr="00BC66D1">
        <w:rPr>
          <w:rFonts w:asciiTheme="minorHAnsi" w:hAnsiTheme="minorHAnsi" w:cstheme="minorHAnsi"/>
        </w:rPr>
        <w:t>Zestaw 4:</w:t>
      </w:r>
    </w:p>
    <w:p w14:paraId="072A6358" w14:textId="0C87EA66" w:rsidR="00A37F32" w:rsidRPr="00BC66D1" w:rsidRDefault="00A37F32" w:rsidP="00F161E2">
      <w:pPr>
        <w:jc w:val="both"/>
        <w:rPr>
          <w:rFonts w:asciiTheme="minorHAnsi" w:hAnsiTheme="minorHAnsi" w:cstheme="minorHAnsi"/>
        </w:rPr>
      </w:pPr>
      <w:r w:rsidRPr="00BC66D1">
        <w:rPr>
          <w:rFonts w:asciiTheme="minorHAnsi" w:hAnsiTheme="minorHAnsi" w:cstheme="minorHAnsi"/>
        </w:rPr>
        <w:t xml:space="preserve">Odpowiedź na uwagi zawarte w Karcie oceny projektu nr P413 </w:t>
      </w:r>
      <w:r w:rsidR="009A33DB" w:rsidRPr="00BC66D1">
        <w:rPr>
          <w:rFonts w:asciiTheme="minorHAnsi" w:hAnsiTheme="minorHAnsi" w:cstheme="minorHAnsi"/>
        </w:rPr>
        <w:t>Zesp</w:t>
      </w:r>
      <w:r w:rsidR="00473EC2" w:rsidRPr="00BC66D1">
        <w:rPr>
          <w:rFonts w:asciiTheme="minorHAnsi" w:hAnsiTheme="minorHAnsi" w:cstheme="minorHAnsi"/>
        </w:rPr>
        <w:t>ołu</w:t>
      </w:r>
      <w:r w:rsidR="009A33DB" w:rsidRPr="00BC66D1">
        <w:rPr>
          <w:rFonts w:asciiTheme="minorHAnsi" w:hAnsiTheme="minorHAnsi" w:cstheme="minorHAnsi"/>
        </w:rPr>
        <w:t xml:space="preserve"> Zadaniow</w:t>
      </w:r>
      <w:r w:rsidR="00473EC2" w:rsidRPr="00BC66D1">
        <w:rPr>
          <w:rFonts w:asciiTheme="minorHAnsi" w:hAnsiTheme="minorHAnsi" w:cstheme="minorHAnsi"/>
        </w:rPr>
        <w:t>ego</w:t>
      </w:r>
      <w:r w:rsidR="009A33DB" w:rsidRPr="00BC66D1">
        <w:rPr>
          <w:rFonts w:asciiTheme="minorHAnsi" w:hAnsiTheme="minorHAnsi" w:cstheme="minorHAnsi"/>
        </w:rPr>
        <w:t xml:space="preserve"> Rada Architektury IT z dnia </w:t>
      </w:r>
      <w:r w:rsidR="00A834C7" w:rsidRPr="00BC66D1">
        <w:rPr>
          <w:rFonts w:asciiTheme="minorHAnsi" w:hAnsiTheme="minorHAnsi" w:cstheme="minorHAnsi"/>
        </w:rPr>
        <w:t>16</w:t>
      </w:r>
      <w:r w:rsidR="009A33DB" w:rsidRPr="00BC66D1">
        <w:rPr>
          <w:rFonts w:asciiTheme="minorHAnsi" w:hAnsiTheme="minorHAnsi" w:cstheme="minorHAnsi"/>
        </w:rPr>
        <w:t>.1</w:t>
      </w:r>
      <w:r w:rsidR="00ED03A4" w:rsidRPr="00BC66D1">
        <w:rPr>
          <w:rFonts w:asciiTheme="minorHAnsi" w:hAnsiTheme="minorHAnsi" w:cstheme="minorHAnsi"/>
        </w:rPr>
        <w:t>2</w:t>
      </w:r>
      <w:r w:rsidR="009A33DB" w:rsidRPr="00BC66D1">
        <w:rPr>
          <w:rFonts w:asciiTheme="minorHAnsi" w:hAnsiTheme="minorHAnsi" w:cstheme="minorHAnsi"/>
        </w:rPr>
        <w:t>.2024</w:t>
      </w:r>
      <w:r w:rsidR="005F6DE2">
        <w:rPr>
          <w:rFonts w:asciiTheme="minorHAnsi" w:hAnsiTheme="minorHAnsi" w:cstheme="minorHAnsi"/>
        </w:rPr>
        <w:t>.</w:t>
      </w:r>
    </w:p>
    <w:p w14:paraId="44FBDBE7" w14:textId="77777777" w:rsidR="00ED03A4" w:rsidRPr="00BC66D1" w:rsidRDefault="00ED03A4" w:rsidP="00F161E2">
      <w:pPr>
        <w:jc w:val="both"/>
        <w:rPr>
          <w:rFonts w:asciiTheme="minorHAnsi" w:hAnsiTheme="minorHAnsi" w:cstheme="minorHAnsi"/>
        </w:rPr>
      </w:pPr>
    </w:p>
    <w:p w14:paraId="056C1E91" w14:textId="2B13FE91" w:rsidR="00ED03A4" w:rsidRDefault="00A52D28" w:rsidP="00F161E2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Karcie oceny projektu, Rada Architektury </w:t>
      </w:r>
      <w:r w:rsidR="00025A11">
        <w:rPr>
          <w:rFonts w:asciiTheme="minorHAnsi" w:hAnsiTheme="minorHAnsi" w:cstheme="minorHAnsi"/>
        </w:rPr>
        <w:t xml:space="preserve">przedstawiła pozytywną rekomendację dla projektu wraz z </w:t>
      </w:r>
      <w:r w:rsidR="00BD574D">
        <w:rPr>
          <w:rFonts w:asciiTheme="minorHAnsi" w:hAnsiTheme="minorHAnsi" w:cstheme="minorHAnsi"/>
        </w:rPr>
        <w:t xml:space="preserve">zaleceniami wprowadzenia w nim zmian i uzupełnień na dalszym etapie </w:t>
      </w:r>
      <w:r w:rsidR="00E305CE">
        <w:rPr>
          <w:rFonts w:asciiTheme="minorHAnsi" w:hAnsiTheme="minorHAnsi" w:cstheme="minorHAnsi"/>
        </w:rPr>
        <w:t>prac nad projektem. Zalecenia Rady architektury został</w:t>
      </w:r>
      <w:r w:rsidR="00D350CF">
        <w:rPr>
          <w:rFonts w:asciiTheme="minorHAnsi" w:hAnsiTheme="minorHAnsi" w:cstheme="minorHAnsi"/>
        </w:rPr>
        <w:t>y</w:t>
      </w:r>
      <w:r w:rsidR="00E305CE">
        <w:rPr>
          <w:rFonts w:asciiTheme="minorHAnsi" w:hAnsiTheme="minorHAnsi" w:cstheme="minorHAnsi"/>
        </w:rPr>
        <w:t xml:space="preserve"> przedstawione poniżej wraz z odniesieniem autorów projektu NID.</w:t>
      </w:r>
    </w:p>
    <w:p w14:paraId="0A73611B" w14:textId="77777777" w:rsidR="00E305CE" w:rsidRPr="00BC66D1" w:rsidRDefault="00E305CE" w:rsidP="00F161E2">
      <w:pPr>
        <w:jc w:val="both"/>
        <w:rPr>
          <w:rFonts w:asciiTheme="minorHAnsi" w:hAnsiTheme="minorHAnsi" w:cstheme="minorHAnsi"/>
        </w:rPr>
      </w:pPr>
    </w:p>
    <w:p w14:paraId="15620466" w14:textId="5BCE3192" w:rsidR="00A37F32" w:rsidRPr="00BC66D1" w:rsidRDefault="00ED03A4" w:rsidP="00F161E2">
      <w:pPr>
        <w:pStyle w:val="Akapitzlist"/>
        <w:numPr>
          <w:ilvl w:val="0"/>
          <w:numId w:val="40"/>
        </w:numPr>
        <w:jc w:val="both"/>
        <w:rPr>
          <w:rFonts w:asciiTheme="minorHAnsi" w:hAnsiTheme="minorHAnsi" w:cstheme="minorHAnsi"/>
        </w:rPr>
      </w:pPr>
      <w:r w:rsidRPr="00BC66D1">
        <w:rPr>
          <w:rFonts w:asciiTheme="minorHAnsi" w:hAnsiTheme="minorHAnsi" w:cstheme="minorHAnsi"/>
        </w:rPr>
        <w:t>Zesp</w:t>
      </w:r>
      <w:r w:rsidR="001C5CBE" w:rsidRPr="00BC66D1">
        <w:rPr>
          <w:rFonts w:asciiTheme="minorHAnsi" w:hAnsiTheme="minorHAnsi" w:cstheme="minorHAnsi"/>
        </w:rPr>
        <w:t>ół</w:t>
      </w:r>
      <w:r w:rsidRPr="00BC66D1">
        <w:rPr>
          <w:rFonts w:asciiTheme="minorHAnsi" w:hAnsiTheme="minorHAnsi" w:cstheme="minorHAnsi"/>
        </w:rPr>
        <w:t xml:space="preserve"> Zadanio</w:t>
      </w:r>
      <w:r w:rsidR="001C5CBE" w:rsidRPr="00BC66D1">
        <w:rPr>
          <w:rFonts w:asciiTheme="minorHAnsi" w:hAnsiTheme="minorHAnsi" w:cstheme="minorHAnsi"/>
        </w:rPr>
        <w:t>wy</w:t>
      </w:r>
      <w:r w:rsidRPr="00BC66D1">
        <w:rPr>
          <w:rFonts w:asciiTheme="minorHAnsi" w:hAnsiTheme="minorHAnsi" w:cstheme="minorHAnsi"/>
        </w:rPr>
        <w:t xml:space="preserve"> Rada Architektury</w:t>
      </w:r>
    </w:p>
    <w:p w14:paraId="7C450604" w14:textId="6FCF62DC" w:rsidR="001D7040" w:rsidRPr="00BC66D1" w:rsidRDefault="00BC66D1" w:rsidP="00F161E2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AB48F8" w:rsidRPr="00BC66D1">
        <w:rPr>
          <w:rFonts w:asciiTheme="minorHAnsi" w:hAnsiTheme="minorHAnsi" w:cstheme="minorHAnsi"/>
        </w:rPr>
        <w:t>yłączenie zadań związanych z infrastrukturą i budową Platforma Danych Przestrzennych o Zabytkach oraz włączenie tych zadań do projektu „Digitalizacja i cyfrowe udostępnianie dokumentacji w obszarze ochrony zabytków (w tym dokumentacji archiwalnej) w województwach: lubuskim, małopolskim, mazowieckim, opolskim, podlaskim”, a także ponowne przedefiniowanie sposobu zarządzania w obu projektach;</w:t>
      </w:r>
    </w:p>
    <w:p w14:paraId="276E4378" w14:textId="77777777" w:rsidR="00ED03A4" w:rsidRPr="00BC66D1" w:rsidRDefault="00ED03A4" w:rsidP="00F161E2">
      <w:pPr>
        <w:jc w:val="both"/>
        <w:rPr>
          <w:rFonts w:asciiTheme="minorHAnsi" w:hAnsiTheme="minorHAnsi" w:cstheme="minorHAnsi"/>
        </w:rPr>
      </w:pPr>
    </w:p>
    <w:p w14:paraId="63152EB3" w14:textId="2ACBEE2A" w:rsidR="00ED03A4" w:rsidRPr="00BC66D1" w:rsidRDefault="001C5CBE" w:rsidP="00F161E2">
      <w:pPr>
        <w:jc w:val="both"/>
        <w:rPr>
          <w:rFonts w:asciiTheme="minorHAnsi" w:hAnsiTheme="minorHAnsi" w:cstheme="minorHAnsi"/>
        </w:rPr>
      </w:pPr>
      <w:r w:rsidRPr="00BC66D1">
        <w:rPr>
          <w:rFonts w:asciiTheme="minorHAnsi" w:hAnsiTheme="minorHAnsi" w:cstheme="minorHAnsi"/>
        </w:rPr>
        <w:t>Ad. 1. Narodowy Instytut Dziedzictwa</w:t>
      </w:r>
    </w:p>
    <w:p w14:paraId="4ACFCF49" w14:textId="321366D5" w:rsidR="00ED03A4" w:rsidRPr="00BC66D1" w:rsidRDefault="00B91A00" w:rsidP="00F161E2">
      <w:pPr>
        <w:jc w:val="both"/>
        <w:rPr>
          <w:rFonts w:asciiTheme="minorHAnsi" w:hAnsiTheme="minorHAnsi" w:cstheme="minorHAnsi"/>
        </w:rPr>
      </w:pPr>
      <w:r w:rsidRPr="00BC66D1">
        <w:rPr>
          <w:rFonts w:asciiTheme="minorHAnsi" w:hAnsiTheme="minorHAnsi" w:cstheme="minorHAnsi"/>
        </w:rPr>
        <w:t>Uprzejmie wyjaśniamy, że takie rozwiązanie nie jest optymalne. System IT do przetwarzania i udostępniania danych 3D stanowi integralną część projektu, ponieważ umożliwia pełne wykorzystanie zdigitalizowanych zasobów oraz realizację głównych celów, takich jak udostępnianie i analiza danych przez szerokie grono odbiorców. Rozdzielenie tych działań mogłoby prowadzić do znaczących opóźnień, utrudnień w integracji oraz dodatkowych kosztów administracyjnych. Spójność działań w ramach jednego projektu zapewnia efektywność, zgodność technologii i skuteczną realizację założonych celów.</w:t>
      </w:r>
    </w:p>
    <w:p w14:paraId="5B852F09" w14:textId="6495D0FB" w:rsidR="00557931" w:rsidRPr="00BC66D1" w:rsidRDefault="00557931" w:rsidP="00F161E2">
      <w:pPr>
        <w:jc w:val="both"/>
        <w:rPr>
          <w:rFonts w:asciiTheme="minorHAnsi" w:hAnsiTheme="minorHAnsi" w:cstheme="minorHAnsi"/>
        </w:rPr>
      </w:pPr>
      <w:r w:rsidRPr="00BC66D1">
        <w:rPr>
          <w:rFonts w:asciiTheme="minorHAnsi" w:hAnsiTheme="minorHAnsi" w:cstheme="minorHAnsi"/>
        </w:rPr>
        <w:t xml:space="preserve">Niemniej należy podkreślić, że planując </w:t>
      </w:r>
      <w:r w:rsidR="000E5CE3" w:rsidRPr="00BC66D1">
        <w:rPr>
          <w:rFonts w:asciiTheme="minorHAnsi" w:hAnsiTheme="minorHAnsi" w:cstheme="minorHAnsi"/>
        </w:rPr>
        <w:t xml:space="preserve">realizację projektu, Wnioskodawca uwzględnił uwarunkowania wynikające z realizacji równoległej dwóch projektów. Opis </w:t>
      </w:r>
      <w:r w:rsidR="003E618F" w:rsidRPr="00BC66D1">
        <w:rPr>
          <w:rFonts w:asciiTheme="minorHAnsi" w:hAnsiTheme="minorHAnsi" w:cstheme="minorHAnsi"/>
        </w:rPr>
        <w:t xml:space="preserve">podejścia w tym zakresie, został opisany w odpowiedzi do punktu </w:t>
      </w:r>
      <w:r w:rsidR="007E6993" w:rsidRPr="00BC66D1">
        <w:rPr>
          <w:rFonts w:asciiTheme="minorHAnsi" w:hAnsiTheme="minorHAnsi" w:cstheme="minorHAnsi"/>
        </w:rPr>
        <w:t>7</w:t>
      </w:r>
      <w:r w:rsidR="003E618F" w:rsidRPr="00BC66D1">
        <w:rPr>
          <w:rFonts w:asciiTheme="minorHAnsi" w:hAnsiTheme="minorHAnsi" w:cstheme="minorHAnsi"/>
        </w:rPr>
        <w:t>.</w:t>
      </w:r>
    </w:p>
    <w:p w14:paraId="1326D878" w14:textId="77777777" w:rsidR="00AB48F8" w:rsidRPr="00BC66D1" w:rsidRDefault="00AB48F8" w:rsidP="00F161E2">
      <w:pPr>
        <w:jc w:val="both"/>
        <w:rPr>
          <w:rFonts w:asciiTheme="minorHAnsi" w:hAnsiTheme="minorHAnsi" w:cstheme="minorHAnsi"/>
        </w:rPr>
      </w:pPr>
    </w:p>
    <w:p w14:paraId="1302B2E5" w14:textId="4D94F488" w:rsidR="00AF74FE" w:rsidRPr="00BC66D1" w:rsidRDefault="00AF74FE" w:rsidP="00F161E2">
      <w:pPr>
        <w:pStyle w:val="Akapitzlist"/>
        <w:numPr>
          <w:ilvl w:val="0"/>
          <w:numId w:val="40"/>
        </w:numPr>
        <w:jc w:val="both"/>
        <w:rPr>
          <w:rFonts w:asciiTheme="minorHAnsi" w:hAnsiTheme="minorHAnsi" w:cstheme="minorHAnsi"/>
        </w:rPr>
      </w:pPr>
      <w:r w:rsidRPr="00BC66D1">
        <w:rPr>
          <w:rFonts w:asciiTheme="minorHAnsi" w:hAnsiTheme="minorHAnsi" w:cstheme="minorHAnsi"/>
        </w:rPr>
        <w:t>Zespół Zadaniowy Rada Architektury</w:t>
      </w:r>
    </w:p>
    <w:p w14:paraId="653A4BC6" w14:textId="0C9F54C1" w:rsidR="00AB48F8" w:rsidRPr="00BC66D1" w:rsidRDefault="001962F5" w:rsidP="00F161E2">
      <w:pPr>
        <w:jc w:val="both"/>
        <w:rPr>
          <w:rFonts w:asciiTheme="minorHAnsi" w:hAnsiTheme="minorHAnsi" w:cstheme="minorHAnsi"/>
        </w:rPr>
      </w:pPr>
      <w:r w:rsidRPr="00BC66D1">
        <w:rPr>
          <w:rFonts w:asciiTheme="minorHAnsi" w:hAnsiTheme="minorHAnsi" w:cstheme="minorHAnsi"/>
        </w:rPr>
        <w:lastRenderedPageBreak/>
        <w:t>w pkt 2.1 - projekt ma charakter modernizacyjny, czego nie odzwierciedlają wskaźniki projektu. Część wskaźników odnosi się do wartości zero/bazowych, co wymagałoby albo poprawy części opisowej albo poprawy wskaźników projektu;</w:t>
      </w:r>
    </w:p>
    <w:p w14:paraId="3F6D125A" w14:textId="77777777" w:rsidR="00AF74FE" w:rsidRPr="00BC66D1" w:rsidRDefault="00AF74FE" w:rsidP="00F161E2">
      <w:pPr>
        <w:jc w:val="both"/>
        <w:rPr>
          <w:rFonts w:asciiTheme="minorHAnsi" w:hAnsiTheme="minorHAnsi" w:cstheme="minorHAnsi"/>
        </w:rPr>
      </w:pPr>
    </w:p>
    <w:p w14:paraId="3F87D89A" w14:textId="71BBC961" w:rsidR="00AF74FE" w:rsidRPr="00BC66D1" w:rsidRDefault="00AF74FE" w:rsidP="00F161E2">
      <w:pPr>
        <w:jc w:val="both"/>
        <w:rPr>
          <w:rFonts w:asciiTheme="minorHAnsi" w:hAnsiTheme="minorHAnsi" w:cstheme="minorHAnsi"/>
        </w:rPr>
      </w:pPr>
      <w:r w:rsidRPr="00BC66D1">
        <w:rPr>
          <w:rFonts w:asciiTheme="minorHAnsi" w:hAnsiTheme="minorHAnsi" w:cstheme="minorHAnsi"/>
        </w:rPr>
        <w:t>Ad. 2. Narodowy Instytut Dziedzictwa</w:t>
      </w:r>
    </w:p>
    <w:p w14:paraId="1CAEA197" w14:textId="727E36F6" w:rsidR="00AF74FE" w:rsidRPr="00BC66D1" w:rsidRDefault="00F9043E" w:rsidP="00F161E2">
      <w:pPr>
        <w:jc w:val="both"/>
        <w:rPr>
          <w:rFonts w:asciiTheme="minorHAnsi" w:hAnsiTheme="minorHAnsi" w:cstheme="minorHAnsi"/>
        </w:rPr>
      </w:pPr>
      <w:r w:rsidRPr="00BC66D1">
        <w:rPr>
          <w:rFonts w:asciiTheme="minorHAnsi" w:hAnsiTheme="minorHAnsi" w:cstheme="minorHAnsi"/>
        </w:rPr>
        <w:t>Zgodnie z rekomendacją, w dalszych pracach nad projektem</w:t>
      </w:r>
      <w:r w:rsidR="00D736D9" w:rsidRPr="00BC66D1">
        <w:rPr>
          <w:rFonts w:asciiTheme="minorHAnsi" w:hAnsiTheme="minorHAnsi" w:cstheme="minorHAnsi"/>
        </w:rPr>
        <w:t xml:space="preserve">, zostanie uszczegółowiona </w:t>
      </w:r>
      <w:r w:rsidR="00F22165" w:rsidRPr="00BC66D1">
        <w:rPr>
          <w:rFonts w:asciiTheme="minorHAnsi" w:hAnsiTheme="minorHAnsi" w:cstheme="minorHAnsi"/>
        </w:rPr>
        <w:t xml:space="preserve">część opisowa wskaźników tak, aby ich wartości w sposób jednoznaczny odzwierciedlały </w:t>
      </w:r>
      <w:r w:rsidR="00746192" w:rsidRPr="00BC66D1">
        <w:rPr>
          <w:rFonts w:asciiTheme="minorHAnsi" w:hAnsiTheme="minorHAnsi" w:cstheme="minorHAnsi"/>
        </w:rPr>
        <w:t>założone cele projektu oraz umożliwiały precyzyjne monitorowanie postępów i ocenę efektywności realizacji poszczególnych działań.</w:t>
      </w:r>
    </w:p>
    <w:p w14:paraId="411B352B" w14:textId="77777777" w:rsidR="00746192" w:rsidRPr="00BC66D1" w:rsidRDefault="00746192" w:rsidP="00F161E2">
      <w:pPr>
        <w:jc w:val="both"/>
        <w:rPr>
          <w:rFonts w:asciiTheme="minorHAnsi" w:hAnsiTheme="minorHAnsi" w:cstheme="minorHAnsi"/>
        </w:rPr>
      </w:pPr>
    </w:p>
    <w:p w14:paraId="24CEB8B5" w14:textId="2E77BF54" w:rsidR="00746192" w:rsidRPr="00BC66D1" w:rsidRDefault="00746192" w:rsidP="00F161E2">
      <w:pPr>
        <w:pStyle w:val="Akapitzlist"/>
        <w:numPr>
          <w:ilvl w:val="0"/>
          <w:numId w:val="40"/>
        </w:numPr>
        <w:jc w:val="both"/>
        <w:rPr>
          <w:rFonts w:asciiTheme="minorHAnsi" w:hAnsiTheme="minorHAnsi" w:cstheme="minorHAnsi"/>
        </w:rPr>
      </w:pPr>
      <w:r w:rsidRPr="00BC66D1">
        <w:rPr>
          <w:rFonts w:asciiTheme="minorHAnsi" w:hAnsiTheme="minorHAnsi" w:cstheme="minorHAnsi"/>
        </w:rPr>
        <w:t>Zespół Zadaniowy Rada Architektury</w:t>
      </w:r>
    </w:p>
    <w:p w14:paraId="31B86104" w14:textId="3B73CB49" w:rsidR="001962F5" w:rsidRPr="00BC66D1" w:rsidRDefault="001962F5" w:rsidP="00F161E2">
      <w:pPr>
        <w:jc w:val="both"/>
        <w:rPr>
          <w:rFonts w:asciiTheme="minorHAnsi" w:hAnsiTheme="minorHAnsi" w:cstheme="minorHAnsi"/>
        </w:rPr>
      </w:pPr>
      <w:r w:rsidRPr="00BC66D1">
        <w:rPr>
          <w:rFonts w:asciiTheme="minorHAnsi" w:hAnsiTheme="minorHAnsi" w:cstheme="minorHAnsi"/>
        </w:rPr>
        <w:t>w pkt 2.2 - brak wskazanych e-usług, które będą realizowane w ramach projektu. To zastanawiające, bo wśród modułów znajdują się Moduł Baz Danych o Zabytkach, Konstrukcja baz danych może zakładać realizację drogą elektroniczną usługi dostarczania informacji do bazy/rejestru, bądź udostępnianie informacji z tej bazy/rejestru użytkownikom przez podmioty do tego zobowiązane, a także Aplikacja do Pozyskiwania Danych i Prowadzenia Rejestru Zabytków;</w:t>
      </w:r>
    </w:p>
    <w:p w14:paraId="32C25A47" w14:textId="77777777" w:rsidR="00746192" w:rsidRPr="00BC66D1" w:rsidRDefault="00746192" w:rsidP="00F161E2">
      <w:pPr>
        <w:jc w:val="both"/>
        <w:rPr>
          <w:rFonts w:asciiTheme="minorHAnsi" w:hAnsiTheme="minorHAnsi" w:cstheme="minorHAnsi"/>
        </w:rPr>
      </w:pPr>
    </w:p>
    <w:p w14:paraId="616C4BAE" w14:textId="48F29B96" w:rsidR="00746192" w:rsidRPr="00BC66D1" w:rsidRDefault="00746192" w:rsidP="00F161E2">
      <w:pPr>
        <w:jc w:val="both"/>
        <w:rPr>
          <w:rFonts w:asciiTheme="minorHAnsi" w:hAnsiTheme="minorHAnsi" w:cstheme="minorHAnsi"/>
        </w:rPr>
      </w:pPr>
      <w:r w:rsidRPr="00BC66D1">
        <w:rPr>
          <w:rFonts w:asciiTheme="minorHAnsi" w:hAnsiTheme="minorHAnsi" w:cstheme="minorHAnsi"/>
        </w:rPr>
        <w:t>Ad. 3. Narodowy Instytut Dziedzictwa</w:t>
      </w:r>
    </w:p>
    <w:p w14:paraId="6D432024" w14:textId="065D63F5" w:rsidR="00746192" w:rsidRPr="00BC66D1" w:rsidRDefault="002232CD" w:rsidP="00F161E2">
      <w:pPr>
        <w:jc w:val="both"/>
        <w:rPr>
          <w:rFonts w:asciiTheme="minorHAnsi" w:hAnsiTheme="minorHAnsi" w:cstheme="minorHAnsi"/>
        </w:rPr>
      </w:pPr>
      <w:r w:rsidRPr="00BC66D1">
        <w:rPr>
          <w:rFonts w:asciiTheme="minorHAnsi" w:hAnsiTheme="minorHAnsi" w:cstheme="minorHAnsi"/>
        </w:rPr>
        <w:t xml:space="preserve">Wyjaśniamy, że </w:t>
      </w:r>
      <w:r w:rsidR="00F976B6" w:rsidRPr="00BC66D1">
        <w:rPr>
          <w:rFonts w:asciiTheme="minorHAnsi" w:hAnsiTheme="minorHAnsi" w:cstheme="minorHAnsi"/>
        </w:rPr>
        <w:t>w obecnie działającym Systemie NID, dostępne są różne funkcje o charakterze usługowym. Niemniej projekt nie dotyczy tworzenia nowych e-usług</w:t>
      </w:r>
      <w:r w:rsidR="009F3871" w:rsidRPr="00BC66D1">
        <w:rPr>
          <w:rFonts w:asciiTheme="minorHAnsi" w:hAnsiTheme="minorHAnsi" w:cstheme="minorHAnsi"/>
        </w:rPr>
        <w:t xml:space="preserve"> lub rozbudowy istniejących</w:t>
      </w:r>
      <w:r w:rsidR="00F976B6" w:rsidRPr="00BC66D1">
        <w:rPr>
          <w:rFonts w:asciiTheme="minorHAnsi" w:hAnsiTheme="minorHAnsi" w:cstheme="minorHAnsi"/>
        </w:rPr>
        <w:t xml:space="preserve"> w rozumieniu FERC</w:t>
      </w:r>
      <w:r w:rsidR="00D964D5" w:rsidRPr="00BC66D1">
        <w:rPr>
          <w:rFonts w:asciiTheme="minorHAnsi" w:hAnsiTheme="minorHAnsi" w:cstheme="minorHAnsi"/>
        </w:rPr>
        <w:t xml:space="preserve">. </w:t>
      </w:r>
      <w:r w:rsidR="00396877" w:rsidRPr="00BC66D1">
        <w:rPr>
          <w:rFonts w:asciiTheme="minorHAnsi" w:hAnsiTheme="minorHAnsi" w:cstheme="minorHAnsi"/>
        </w:rPr>
        <w:t xml:space="preserve">Specyfika projektu jest ściśle związana z </w:t>
      </w:r>
      <w:r w:rsidR="00484095" w:rsidRPr="00BC66D1">
        <w:rPr>
          <w:rFonts w:asciiTheme="minorHAnsi" w:hAnsiTheme="minorHAnsi" w:cstheme="minorHAnsi"/>
        </w:rPr>
        <w:t xml:space="preserve">celami działania </w:t>
      </w:r>
      <w:r w:rsidR="00016B74" w:rsidRPr="00BC66D1">
        <w:rPr>
          <w:rFonts w:asciiTheme="minorHAnsi" w:hAnsiTheme="minorHAnsi" w:cstheme="minorHAnsi"/>
        </w:rPr>
        <w:t>nakierowanego na digitalizację i udostępnianie zasobów.</w:t>
      </w:r>
    </w:p>
    <w:p w14:paraId="202A1E01" w14:textId="77777777" w:rsidR="00016B74" w:rsidRPr="00BC66D1" w:rsidRDefault="00016B74" w:rsidP="00F161E2">
      <w:pPr>
        <w:jc w:val="both"/>
        <w:rPr>
          <w:rFonts w:asciiTheme="minorHAnsi" w:hAnsiTheme="minorHAnsi" w:cstheme="minorHAnsi"/>
        </w:rPr>
      </w:pPr>
    </w:p>
    <w:p w14:paraId="77BDECEB" w14:textId="5C32FCF5" w:rsidR="006846B8" w:rsidRPr="00BC66D1" w:rsidRDefault="006846B8" w:rsidP="00F161E2">
      <w:pPr>
        <w:pStyle w:val="Akapitzlist"/>
        <w:numPr>
          <w:ilvl w:val="0"/>
          <w:numId w:val="40"/>
        </w:numPr>
        <w:jc w:val="both"/>
        <w:rPr>
          <w:rFonts w:asciiTheme="minorHAnsi" w:hAnsiTheme="minorHAnsi" w:cstheme="minorHAnsi"/>
        </w:rPr>
      </w:pPr>
      <w:r w:rsidRPr="00BC66D1">
        <w:rPr>
          <w:rFonts w:asciiTheme="minorHAnsi" w:hAnsiTheme="minorHAnsi" w:cstheme="minorHAnsi"/>
        </w:rPr>
        <w:t>Zespół Zadaniowy Rada Architektury</w:t>
      </w:r>
    </w:p>
    <w:p w14:paraId="4E8E3215" w14:textId="4C26726F" w:rsidR="001962F5" w:rsidRPr="00BC66D1" w:rsidRDefault="001962F5" w:rsidP="00F161E2">
      <w:pPr>
        <w:jc w:val="both"/>
        <w:rPr>
          <w:rFonts w:asciiTheme="minorHAnsi" w:hAnsiTheme="minorHAnsi" w:cstheme="minorHAnsi"/>
        </w:rPr>
      </w:pPr>
      <w:r w:rsidRPr="00BC66D1">
        <w:rPr>
          <w:rFonts w:asciiTheme="minorHAnsi" w:hAnsiTheme="minorHAnsi" w:cstheme="minorHAnsi"/>
        </w:rPr>
        <w:t>w pkt 3 – zweryfikowanie harmonogramu projektu; Harmonogram realizacji projektu zakłada uczenie się beneficjenta w trakcie trwania projektu, pierwszym kamieniem milowym jest bowiem rozstrzygnięcie postępowania przetargowego na usługę doradczą w zakresie opracowania specyfikacji wymagań dla systemu, a potem miałoby nastąpić opracowanie wymagań dla systemu. Proces ten miałby zakończyć się dopiero 31.03.2026 r.;</w:t>
      </w:r>
    </w:p>
    <w:p w14:paraId="25766395" w14:textId="77777777" w:rsidR="008D2508" w:rsidRPr="00BC66D1" w:rsidRDefault="008D2508" w:rsidP="00F161E2">
      <w:pPr>
        <w:jc w:val="both"/>
        <w:rPr>
          <w:rFonts w:asciiTheme="minorHAnsi" w:hAnsiTheme="minorHAnsi" w:cstheme="minorHAnsi"/>
        </w:rPr>
      </w:pPr>
    </w:p>
    <w:p w14:paraId="5A84945D" w14:textId="09FCE69D" w:rsidR="008D2508" w:rsidRPr="00BC66D1" w:rsidRDefault="008D2508" w:rsidP="00F161E2">
      <w:pPr>
        <w:jc w:val="both"/>
        <w:rPr>
          <w:rFonts w:asciiTheme="minorHAnsi" w:hAnsiTheme="minorHAnsi" w:cstheme="minorHAnsi"/>
        </w:rPr>
      </w:pPr>
      <w:r w:rsidRPr="00BC66D1">
        <w:rPr>
          <w:rFonts w:asciiTheme="minorHAnsi" w:hAnsiTheme="minorHAnsi" w:cstheme="minorHAnsi"/>
        </w:rPr>
        <w:t>Ad. 4. Narodowy Instytut Dziedzictwa</w:t>
      </w:r>
    </w:p>
    <w:p w14:paraId="0933419A" w14:textId="7127D529" w:rsidR="008D2508" w:rsidRPr="00BC66D1" w:rsidRDefault="008D2508" w:rsidP="00F161E2">
      <w:pPr>
        <w:jc w:val="both"/>
        <w:rPr>
          <w:rFonts w:asciiTheme="minorHAnsi" w:hAnsiTheme="minorHAnsi" w:cstheme="minorHAnsi"/>
        </w:rPr>
      </w:pPr>
      <w:r w:rsidRPr="00BC66D1">
        <w:rPr>
          <w:rFonts w:asciiTheme="minorHAnsi" w:hAnsiTheme="minorHAnsi" w:cstheme="minorHAnsi"/>
        </w:rPr>
        <w:t xml:space="preserve">Wyjaśniamy, że </w:t>
      </w:r>
      <w:r w:rsidR="00236073" w:rsidRPr="00BC66D1">
        <w:rPr>
          <w:rFonts w:asciiTheme="minorHAnsi" w:hAnsiTheme="minorHAnsi" w:cstheme="minorHAnsi"/>
        </w:rPr>
        <w:t xml:space="preserve">specyfikacja wymagań dla </w:t>
      </w:r>
      <w:r w:rsidR="003B15E0" w:rsidRPr="00BC66D1">
        <w:rPr>
          <w:rFonts w:asciiTheme="minorHAnsi" w:hAnsiTheme="minorHAnsi" w:cstheme="minorHAnsi"/>
        </w:rPr>
        <w:t>rozbudowy Systemu NID powstanie w wyniku realizacji usługi doradczej</w:t>
      </w:r>
      <w:r w:rsidR="005A4BC1" w:rsidRPr="00BC66D1">
        <w:rPr>
          <w:rFonts w:asciiTheme="minorHAnsi" w:hAnsiTheme="minorHAnsi" w:cstheme="minorHAnsi"/>
        </w:rPr>
        <w:t xml:space="preserve">. </w:t>
      </w:r>
      <w:r w:rsidR="00567A04" w:rsidRPr="00BC66D1">
        <w:rPr>
          <w:rFonts w:asciiTheme="minorHAnsi" w:hAnsiTheme="minorHAnsi" w:cstheme="minorHAnsi"/>
        </w:rPr>
        <w:t xml:space="preserve">Celem tej usługi nie jest </w:t>
      </w:r>
      <w:r w:rsidR="00545960" w:rsidRPr="00BC66D1">
        <w:rPr>
          <w:rFonts w:asciiTheme="minorHAnsi" w:hAnsiTheme="minorHAnsi" w:cstheme="minorHAnsi"/>
        </w:rPr>
        <w:t>„uczenie beneficjenta”.</w:t>
      </w:r>
    </w:p>
    <w:p w14:paraId="33801D81" w14:textId="77777777" w:rsidR="003E618F" w:rsidRPr="00BC66D1" w:rsidRDefault="003E618F" w:rsidP="00F161E2">
      <w:pPr>
        <w:jc w:val="both"/>
        <w:rPr>
          <w:rFonts w:asciiTheme="minorHAnsi" w:hAnsiTheme="minorHAnsi" w:cstheme="minorHAnsi"/>
        </w:rPr>
      </w:pPr>
    </w:p>
    <w:p w14:paraId="132CC5C5" w14:textId="7D7ED814" w:rsidR="00545960" w:rsidRPr="00BC66D1" w:rsidRDefault="00545960" w:rsidP="00F161E2">
      <w:pPr>
        <w:pStyle w:val="Akapitzlist"/>
        <w:numPr>
          <w:ilvl w:val="0"/>
          <w:numId w:val="40"/>
        </w:numPr>
        <w:jc w:val="both"/>
        <w:rPr>
          <w:rFonts w:asciiTheme="minorHAnsi" w:hAnsiTheme="minorHAnsi" w:cstheme="minorHAnsi"/>
        </w:rPr>
      </w:pPr>
      <w:r w:rsidRPr="00BC66D1">
        <w:rPr>
          <w:rFonts w:asciiTheme="minorHAnsi" w:hAnsiTheme="minorHAnsi" w:cstheme="minorHAnsi"/>
        </w:rPr>
        <w:t>Zespół Zadaniowy Rada Architektury</w:t>
      </w:r>
    </w:p>
    <w:p w14:paraId="54E0104D" w14:textId="77777777" w:rsidR="00635544" w:rsidRPr="00BC66D1" w:rsidRDefault="00635544" w:rsidP="00F161E2">
      <w:pPr>
        <w:jc w:val="both"/>
        <w:rPr>
          <w:rFonts w:asciiTheme="minorHAnsi" w:hAnsiTheme="minorHAnsi" w:cstheme="minorHAnsi"/>
        </w:rPr>
      </w:pPr>
      <w:r w:rsidRPr="00BC66D1">
        <w:rPr>
          <w:rFonts w:asciiTheme="minorHAnsi" w:hAnsiTheme="minorHAnsi" w:cstheme="minorHAnsi"/>
        </w:rPr>
        <w:t>w pkt 4.2:</w:t>
      </w:r>
    </w:p>
    <w:p w14:paraId="109C0E11" w14:textId="77777777" w:rsidR="00635544" w:rsidRPr="00BC66D1" w:rsidRDefault="00635544" w:rsidP="00F161E2">
      <w:pPr>
        <w:jc w:val="both"/>
        <w:rPr>
          <w:rFonts w:asciiTheme="minorHAnsi" w:hAnsiTheme="minorHAnsi" w:cstheme="minorHAnsi"/>
        </w:rPr>
      </w:pPr>
      <w:r w:rsidRPr="00BC66D1">
        <w:rPr>
          <w:rFonts w:asciiTheme="minorHAnsi" w:hAnsiTheme="minorHAnsi" w:cstheme="minorHAnsi"/>
        </w:rPr>
        <w:t>zweryfikowanie kosztów „Wydajności rozwiązań” - stosunkowo niewielki koszt w stosunku do liczby interesariuszy/użytkowników projektu</w:t>
      </w:r>
    </w:p>
    <w:p w14:paraId="78D55B77" w14:textId="20E26175" w:rsidR="00635544" w:rsidRPr="00BC66D1" w:rsidRDefault="00635544" w:rsidP="00F161E2">
      <w:pPr>
        <w:jc w:val="both"/>
        <w:rPr>
          <w:rFonts w:asciiTheme="minorHAnsi" w:hAnsiTheme="minorHAnsi" w:cstheme="minorHAnsi"/>
        </w:rPr>
      </w:pPr>
      <w:r w:rsidRPr="00BC66D1">
        <w:rPr>
          <w:rFonts w:asciiTheme="minorHAnsi" w:hAnsiTheme="minorHAnsi" w:cstheme="minorHAnsi"/>
        </w:rPr>
        <w:t>zweryfikowanie kosztów „Szkolenia” - niewielki koszt szkoleń w stosunku do potencjalnych potrzeb projektowych. Projekt dotyczy czynności z zakresu informatyki, architektury i archeologii</w:t>
      </w:r>
    </w:p>
    <w:p w14:paraId="374D61FD" w14:textId="2C22CFAE" w:rsidR="001962F5" w:rsidRPr="00BC66D1" w:rsidRDefault="00635544" w:rsidP="00F161E2">
      <w:pPr>
        <w:jc w:val="both"/>
        <w:rPr>
          <w:rFonts w:asciiTheme="minorHAnsi" w:hAnsiTheme="minorHAnsi" w:cstheme="minorHAnsi"/>
        </w:rPr>
      </w:pPr>
      <w:r w:rsidRPr="00BC66D1">
        <w:rPr>
          <w:rFonts w:asciiTheme="minorHAnsi" w:hAnsiTheme="minorHAnsi" w:cstheme="minorHAnsi"/>
        </w:rPr>
        <w:lastRenderedPageBreak/>
        <w:t>skorygowanie kosztów zarządzania i wsparcia projektem, które stanowią wielokrotność kosztów w podobnych projektach. Przekroczone standardowe 10% kosztów zarządzania w metodykach zarządzania projektami;</w:t>
      </w:r>
    </w:p>
    <w:p w14:paraId="6E021E1C" w14:textId="77777777" w:rsidR="00B00EAD" w:rsidRPr="00BC66D1" w:rsidRDefault="00B00EAD" w:rsidP="00F161E2">
      <w:pPr>
        <w:jc w:val="both"/>
        <w:rPr>
          <w:rFonts w:asciiTheme="minorHAnsi" w:hAnsiTheme="minorHAnsi" w:cstheme="minorHAnsi"/>
        </w:rPr>
      </w:pPr>
    </w:p>
    <w:p w14:paraId="2C3374DA" w14:textId="63F16E77" w:rsidR="00B00EAD" w:rsidRPr="00BC66D1" w:rsidRDefault="00B00EAD" w:rsidP="00F161E2">
      <w:pPr>
        <w:jc w:val="both"/>
        <w:rPr>
          <w:rFonts w:asciiTheme="minorHAnsi" w:hAnsiTheme="minorHAnsi" w:cstheme="minorHAnsi"/>
        </w:rPr>
      </w:pPr>
      <w:r w:rsidRPr="00BC66D1">
        <w:rPr>
          <w:rFonts w:asciiTheme="minorHAnsi" w:hAnsiTheme="minorHAnsi" w:cstheme="minorHAnsi"/>
        </w:rPr>
        <w:t xml:space="preserve">Ad. </w:t>
      </w:r>
      <w:r w:rsidR="003E618F" w:rsidRPr="00BC66D1">
        <w:rPr>
          <w:rFonts w:asciiTheme="minorHAnsi" w:hAnsiTheme="minorHAnsi" w:cstheme="minorHAnsi"/>
        </w:rPr>
        <w:t>5</w:t>
      </w:r>
      <w:r w:rsidRPr="00BC66D1">
        <w:rPr>
          <w:rFonts w:asciiTheme="minorHAnsi" w:hAnsiTheme="minorHAnsi" w:cstheme="minorHAnsi"/>
        </w:rPr>
        <w:t>. Narodowy Instytut Dziedzictwa</w:t>
      </w:r>
    </w:p>
    <w:p w14:paraId="2D29CCDE" w14:textId="731AFC1A" w:rsidR="00FA658C" w:rsidRPr="00BC66D1" w:rsidRDefault="00D02500" w:rsidP="00F161E2">
      <w:pPr>
        <w:jc w:val="both"/>
        <w:rPr>
          <w:rFonts w:asciiTheme="minorHAnsi" w:hAnsiTheme="minorHAnsi" w:cstheme="minorHAnsi"/>
        </w:rPr>
      </w:pPr>
      <w:r w:rsidRPr="00BC66D1">
        <w:rPr>
          <w:rFonts w:asciiTheme="minorHAnsi" w:hAnsiTheme="minorHAnsi" w:cstheme="minorHAnsi"/>
        </w:rPr>
        <w:t>Wyjaśniamy, że przypisan</w:t>
      </w:r>
      <w:r w:rsidR="00081D53" w:rsidRPr="00BC66D1">
        <w:rPr>
          <w:rFonts w:asciiTheme="minorHAnsi" w:hAnsiTheme="minorHAnsi" w:cstheme="minorHAnsi"/>
        </w:rPr>
        <w:t>y</w:t>
      </w:r>
      <w:r w:rsidRPr="00BC66D1">
        <w:rPr>
          <w:rFonts w:asciiTheme="minorHAnsi" w:hAnsiTheme="minorHAnsi" w:cstheme="minorHAnsi"/>
        </w:rPr>
        <w:t xml:space="preserve"> </w:t>
      </w:r>
      <w:r w:rsidR="0093461F" w:rsidRPr="00BC66D1">
        <w:rPr>
          <w:rFonts w:asciiTheme="minorHAnsi" w:hAnsiTheme="minorHAnsi" w:cstheme="minorHAnsi"/>
        </w:rPr>
        <w:t xml:space="preserve">do kategorii „Wydajność rozwiązań” został </w:t>
      </w:r>
      <w:r w:rsidR="00081D53" w:rsidRPr="00BC66D1">
        <w:rPr>
          <w:rFonts w:asciiTheme="minorHAnsi" w:hAnsiTheme="minorHAnsi" w:cstheme="minorHAnsi"/>
        </w:rPr>
        <w:t>j</w:t>
      </w:r>
      <w:r w:rsidR="0093461F" w:rsidRPr="00BC66D1">
        <w:rPr>
          <w:rFonts w:asciiTheme="minorHAnsi" w:hAnsiTheme="minorHAnsi" w:cstheme="minorHAnsi"/>
        </w:rPr>
        <w:t xml:space="preserve">edynie koszt </w:t>
      </w:r>
      <w:r w:rsidR="00477E3C" w:rsidRPr="00BC66D1">
        <w:rPr>
          <w:rFonts w:asciiTheme="minorHAnsi" w:hAnsiTheme="minorHAnsi" w:cstheme="minorHAnsi"/>
        </w:rPr>
        <w:t xml:space="preserve">testów wydajności jako bezpośrednio związany z przeznaczeniem tej kategorii kosztów. </w:t>
      </w:r>
      <w:r w:rsidR="00E43ABD" w:rsidRPr="00BC66D1">
        <w:rPr>
          <w:rFonts w:asciiTheme="minorHAnsi" w:hAnsiTheme="minorHAnsi" w:cstheme="minorHAnsi"/>
        </w:rPr>
        <w:t>Za zapewnienie odpowiedniego poziomu wydajności odpowiedzialne będą również inne elementy Systemu w tym</w:t>
      </w:r>
      <w:r w:rsidR="00FA658C" w:rsidRPr="00BC66D1">
        <w:rPr>
          <w:rFonts w:asciiTheme="minorHAnsi" w:hAnsiTheme="minorHAnsi" w:cstheme="minorHAnsi"/>
        </w:rPr>
        <w:t>, należące do kategorii „Infrastruktura”.</w:t>
      </w:r>
    </w:p>
    <w:p w14:paraId="02C841DB" w14:textId="18A1C015" w:rsidR="008D327C" w:rsidRPr="00BC66D1" w:rsidRDefault="008D327C" w:rsidP="00F161E2">
      <w:pPr>
        <w:jc w:val="both"/>
        <w:rPr>
          <w:rFonts w:asciiTheme="minorHAnsi" w:hAnsiTheme="minorHAnsi" w:cstheme="minorHAnsi"/>
        </w:rPr>
      </w:pPr>
      <w:r w:rsidRPr="00BC66D1">
        <w:rPr>
          <w:rFonts w:asciiTheme="minorHAnsi" w:hAnsiTheme="minorHAnsi" w:cstheme="minorHAnsi"/>
        </w:rPr>
        <w:t>Poza tym, k</w:t>
      </w:r>
      <w:r w:rsidR="00FA658C" w:rsidRPr="00BC66D1">
        <w:rPr>
          <w:rFonts w:asciiTheme="minorHAnsi" w:hAnsiTheme="minorHAnsi" w:cstheme="minorHAnsi"/>
        </w:rPr>
        <w:t xml:space="preserve">oszty szkoleń </w:t>
      </w:r>
      <w:r w:rsidR="005D3FEF" w:rsidRPr="00BC66D1">
        <w:rPr>
          <w:rFonts w:asciiTheme="minorHAnsi" w:hAnsiTheme="minorHAnsi" w:cstheme="minorHAnsi"/>
        </w:rPr>
        <w:t>wynikają z aktualnej analizy potrzeb oraz przyjętych rozwiązań (w tym zatrudnienie specjalistów posiadających już wymagan</w:t>
      </w:r>
      <w:r w:rsidRPr="00BC66D1">
        <w:rPr>
          <w:rFonts w:asciiTheme="minorHAnsi" w:hAnsiTheme="minorHAnsi" w:cstheme="minorHAnsi"/>
        </w:rPr>
        <w:t>e kompetencje).</w:t>
      </w:r>
    </w:p>
    <w:p w14:paraId="5C46367D" w14:textId="43FF1446" w:rsidR="00270D69" w:rsidRPr="00BC66D1" w:rsidRDefault="002D2381" w:rsidP="00F161E2">
      <w:pPr>
        <w:jc w:val="both"/>
        <w:rPr>
          <w:rFonts w:asciiTheme="minorHAnsi" w:hAnsiTheme="minorHAnsi" w:cstheme="minorHAnsi"/>
        </w:rPr>
      </w:pPr>
      <w:r w:rsidRPr="00BC66D1">
        <w:rPr>
          <w:rFonts w:asciiTheme="minorHAnsi" w:hAnsiTheme="minorHAnsi" w:cstheme="minorHAnsi"/>
        </w:rPr>
        <w:t xml:space="preserve">W odniesieniu do kosztów zarzadzania, należy zwrócić uwagę, że Regulamin konkursu nie wskazuje </w:t>
      </w:r>
      <w:r w:rsidR="008A044B" w:rsidRPr="00BC66D1">
        <w:rPr>
          <w:rFonts w:asciiTheme="minorHAnsi" w:hAnsiTheme="minorHAnsi" w:cstheme="minorHAnsi"/>
        </w:rPr>
        <w:t>standardu, na jaki powołują się autorzy uwagi.</w:t>
      </w:r>
      <w:r w:rsidR="00136FC7" w:rsidRPr="00BC66D1">
        <w:rPr>
          <w:rFonts w:asciiTheme="minorHAnsi" w:hAnsiTheme="minorHAnsi" w:cstheme="minorHAnsi"/>
        </w:rPr>
        <w:t xml:space="preserve"> Definiuje za to, poziom ryczałtu kosztów pośrednich</w:t>
      </w:r>
      <w:r w:rsidR="00AC0250" w:rsidRPr="00BC66D1">
        <w:rPr>
          <w:rFonts w:asciiTheme="minorHAnsi" w:hAnsiTheme="minorHAnsi" w:cstheme="minorHAnsi"/>
        </w:rPr>
        <w:t>. Wnioskodawca wyliczył poziom kosztów pośrednich zgodnie z wytycznymi dla naboru</w:t>
      </w:r>
      <w:r w:rsidR="00EA2A5A" w:rsidRPr="00BC66D1">
        <w:rPr>
          <w:rFonts w:asciiTheme="minorHAnsi" w:hAnsiTheme="minorHAnsi" w:cstheme="minorHAnsi"/>
        </w:rPr>
        <w:t xml:space="preserve">. Oprócz kosztów pośrednich w kategorii „Kosztów zarządzania i wsparcia” występują także koszty bezpośrednie </w:t>
      </w:r>
      <w:r w:rsidR="0023082D" w:rsidRPr="00BC66D1">
        <w:rPr>
          <w:rFonts w:asciiTheme="minorHAnsi" w:hAnsiTheme="minorHAnsi" w:cstheme="minorHAnsi"/>
        </w:rPr>
        <w:t xml:space="preserve">zgodnie z wyjaśnieniami zawartymi w </w:t>
      </w:r>
      <w:r w:rsidR="0028461C" w:rsidRPr="00BC66D1">
        <w:rPr>
          <w:rFonts w:asciiTheme="minorHAnsi" w:hAnsiTheme="minorHAnsi" w:cstheme="minorHAnsi"/>
        </w:rPr>
        <w:t>OZPI.</w:t>
      </w:r>
    </w:p>
    <w:p w14:paraId="0B66ADA8" w14:textId="271854AB" w:rsidR="0023082D" w:rsidRPr="00BC66D1" w:rsidRDefault="000D434B" w:rsidP="00F161E2">
      <w:pPr>
        <w:jc w:val="both"/>
        <w:rPr>
          <w:rFonts w:asciiTheme="minorHAnsi" w:hAnsiTheme="minorHAnsi" w:cstheme="minorHAnsi"/>
        </w:rPr>
      </w:pPr>
      <w:r w:rsidRPr="00BC66D1">
        <w:rPr>
          <w:rFonts w:asciiTheme="minorHAnsi" w:hAnsiTheme="minorHAnsi" w:cstheme="minorHAnsi"/>
        </w:rPr>
        <w:t xml:space="preserve">Niezależnie od powyższych wyjaśnień, Wnioskodawca, </w:t>
      </w:r>
      <w:r w:rsidR="00064D6E" w:rsidRPr="00BC66D1">
        <w:rPr>
          <w:rFonts w:asciiTheme="minorHAnsi" w:hAnsiTheme="minorHAnsi" w:cstheme="minorHAnsi"/>
        </w:rPr>
        <w:t>zgodnie z rekomendacją, zwróci uwagę na wskazane zagadnienia w dalszych pracach nad projektem.</w:t>
      </w:r>
    </w:p>
    <w:p w14:paraId="34392DF6" w14:textId="52667C0F" w:rsidR="00FF6465" w:rsidRPr="00BC66D1" w:rsidRDefault="00FF6465" w:rsidP="00F161E2">
      <w:pPr>
        <w:jc w:val="both"/>
        <w:rPr>
          <w:rFonts w:asciiTheme="minorHAnsi" w:hAnsiTheme="minorHAnsi" w:cstheme="minorHAnsi"/>
        </w:rPr>
      </w:pPr>
    </w:p>
    <w:p w14:paraId="1F2BB520" w14:textId="4B5E7C02" w:rsidR="0026399A" w:rsidRPr="00BC66D1" w:rsidRDefault="00D02500" w:rsidP="00F161E2">
      <w:pPr>
        <w:jc w:val="both"/>
        <w:rPr>
          <w:rFonts w:asciiTheme="minorHAnsi" w:hAnsiTheme="minorHAnsi" w:cstheme="minorHAnsi"/>
        </w:rPr>
      </w:pPr>
      <w:r w:rsidRPr="00BC66D1">
        <w:rPr>
          <w:rFonts w:asciiTheme="minorHAnsi" w:hAnsiTheme="minorHAnsi" w:cstheme="minorHAnsi"/>
        </w:rPr>
        <w:t xml:space="preserve"> </w:t>
      </w:r>
    </w:p>
    <w:p w14:paraId="70CC8EF2" w14:textId="7F953064" w:rsidR="003E618F" w:rsidRPr="00BC66D1" w:rsidRDefault="003E618F" w:rsidP="00F161E2">
      <w:pPr>
        <w:pStyle w:val="Akapitzlist"/>
        <w:numPr>
          <w:ilvl w:val="0"/>
          <w:numId w:val="40"/>
        </w:numPr>
        <w:jc w:val="both"/>
        <w:rPr>
          <w:rFonts w:asciiTheme="minorHAnsi" w:hAnsiTheme="minorHAnsi" w:cstheme="minorHAnsi"/>
        </w:rPr>
      </w:pPr>
      <w:r w:rsidRPr="00BC66D1">
        <w:rPr>
          <w:rFonts w:asciiTheme="minorHAnsi" w:hAnsiTheme="minorHAnsi" w:cstheme="minorHAnsi"/>
        </w:rPr>
        <w:t>Zespół Zadaniowy Rada Architektury</w:t>
      </w:r>
    </w:p>
    <w:p w14:paraId="1647102E" w14:textId="44FDE30F" w:rsidR="00635544" w:rsidRPr="00BC66D1" w:rsidRDefault="00635544" w:rsidP="00F161E2">
      <w:pPr>
        <w:jc w:val="both"/>
        <w:rPr>
          <w:rFonts w:asciiTheme="minorHAnsi" w:hAnsiTheme="minorHAnsi" w:cstheme="minorHAnsi"/>
        </w:rPr>
      </w:pPr>
      <w:r w:rsidRPr="00BC66D1">
        <w:rPr>
          <w:rFonts w:asciiTheme="minorHAnsi" w:hAnsiTheme="minorHAnsi" w:cstheme="minorHAnsi"/>
        </w:rPr>
        <w:t>w pkt 7.3 - projekt jest ubogi w zakresie opisu warstwy technologicznej rozwiązania, sposobu integracji z innymi systemami krajowymi, np. z systemem Kronik@. Wysoce zastanawiające jest założenie integracji z usługami gigantów amerykańskich dostawców usług cyfrowych – Google, Facebook w oderwaniu od jakiekolwiek opisu uwarunkowań prawno-autorskich tego procesu, pomimo, że projekt dotyczy udostępniania zasobów dóbr kultury krajowi spoza Unii Europejskiej i Europejskiego Obszaru Gospodarczego.</w:t>
      </w:r>
    </w:p>
    <w:p w14:paraId="601B9BEF" w14:textId="77777777" w:rsidR="00635544" w:rsidRPr="00BC66D1" w:rsidRDefault="00635544" w:rsidP="00F161E2">
      <w:pPr>
        <w:jc w:val="both"/>
        <w:rPr>
          <w:rFonts w:asciiTheme="minorHAnsi" w:hAnsiTheme="minorHAnsi" w:cstheme="minorHAnsi"/>
        </w:rPr>
      </w:pPr>
    </w:p>
    <w:p w14:paraId="1BC4DA67" w14:textId="795B4573" w:rsidR="0088710B" w:rsidRPr="00BC66D1" w:rsidRDefault="00E2003D" w:rsidP="00F161E2">
      <w:pPr>
        <w:jc w:val="both"/>
        <w:rPr>
          <w:rFonts w:asciiTheme="minorHAnsi" w:hAnsiTheme="minorHAnsi" w:cstheme="minorHAnsi"/>
        </w:rPr>
      </w:pPr>
      <w:r w:rsidRPr="00BC66D1">
        <w:rPr>
          <w:rFonts w:asciiTheme="minorHAnsi" w:hAnsiTheme="minorHAnsi" w:cstheme="minorHAnsi"/>
        </w:rPr>
        <w:t xml:space="preserve">Ad. </w:t>
      </w:r>
      <w:r w:rsidR="003E618F" w:rsidRPr="00BC66D1">
        <w:rPr>
          <w:rFonts w:asciiTheme="minorHAnsi" w:hAnsiTheme="minorHAnsi" w:cstheme="minorHAnsi"/>
        </w:rPr>
        <w:t>6</w:t>
      </w:r>
      <w:r w:rsidRPr="00BC66D1">
        <w:rPr>
          <w:rFonts w:asciiTheme="minorHAnsi" w:hAnsiTheme="minorHAnsi" w:cstheme="minorHAnsi"/>
        </w:rPr>
        <w:t xml:space="preserve"> Narodowy Instytut Dziedzictwa</w:t>
      </w:r>
    </w:p>
    <w:p w14:paraId="68995451" w14:textId="4A376FAF" w:rsidR="00E2003D" w:rsidRPr="00BC66D1" w:rsidRDefault="00536404" w:rsidP="00F161E2">
      <w:pPr>
        <w:jc w:val="both"/>
        <w:rPr>
          <w:rFonts w:asciiTheme="minorHAnsi" w:hAnsiTheme="minorHAnsi" w:cstheme="minorHAnsi"/>
        </w:rPr>
      </w:pPr>
      <w:r w:rsidRPr="00BC66D1">
        <w:rPr>
          <w:rFonts w:asciiTheme="minorHAnsi" w:hAnsiTheme="minorHAnsi" w:cstheme="minorHAnsi"/>
        </w:rPr>
        <w:t>S</w:t>
      </w:r>
      <w:r w:rsidR="00DA7E7F" w:rsidRPr="00BC66D1">
        <w:rPr>
          <w:rFonts w:asciiTheme="minorHAnsi" w:hAnsiTheme="minorHAnsi" w:cstheme="minorHAnsi"/>
        </w:rPr>
        <w:t xml:space="preserve">truktura formularza OZPI nie przewiduje </w:t>
      </w:r>
      <w:r w:rsidR="00F13178" w:rsidRPr="00BC66D1">
        <w:rPr>
          <w:rFonts w:asciiTheme="minorHAnsi" w:hAnsiTheme="minorHAnsi" w:cstheme="minorHAnsi"/>
        </w:rPr>
        <w:t xml:space="preserve">dostatecznej ilości miejsca na szczegółowy opis </w:t>
      </w:r>
      <w:r w:rsidR="000C43C5" w:rsidRPr="00BC66D1">
        <w:rPr>
          <w:rFonts w:asciiTheme="minorHAnsi" w:hAnsiTheme="minorHAnsi" w:cstheme="minorHAnsi"/>
        </w:rPr>
        <w:t xml:space="preserve">warstwy technologicznej rozwiązania. Zgodnie jednak z rekomendacją autorów uwagi, </w:t>
      </w:r>
      <w:r w:rsidR="0048762E" w:rsidRPr="00BC66D1">
        <w:rPr>
          <w:rFonts w:asciiTheme="minorHAnsi" w:hAnsiTheme="minorHAnsi" w:cstheme="minorHAnsi"/>
        </w:rPr>
        <w:t xml:space="preserve">Wnioskodawca zwróci uwagę w dalszych pracach nad projektem na adekwatny opis stosowanych </w:t>
      </w:r>
      <w:r w:rsidR="00DD49A6" w:rsidRPr="00BC66D1">
        <w:rPr>
          <w:rFonts w:asciiTheme="minorHAnsi" w:hAnsiTheme="minorHAnsi" w:cstheme="minorHAnsi"/>
        </w:rPr>
        <w:t>technologii. Ponadto</w:t>
      </w:r>
      <w:r w:rsidRPr="00BC66D1">
        <w:rPr>
          <w:rFonts w:asciiTheme="minorHAnsi" w:hAnsiTheme="minorHAnsi" w:cstheme="minorHAnsi"/>
        </w:rPr>
        <w:t xml:space="preserve"> wyjaśniamy, że i</w:t>
      </w:r>
      <w:r w:rsidR="00E2003D" w:rsidRPr="00BC66D1">
        <w:rPr>
          <w:rFonts w:asciiTheme="minorHAnsi" w:hAnsiTheme="minorHAnsi" w:cstheme="minorHAnsi"/>
        </w:rPr>
        <w:t>ntegracja wybranych elementów systemu z usługami Google i Facebook jest już realizowana w systemie i w ramach projektu nie będzie modyfikowana. Integracja z Platformą Meta polega na możliwości logowania się na stronie zabytek.pl przy użyciu konta Facebook.</w:t>
      </w:r>
    </w:p>
    <w:p w14:paraId="5D449113" w14:textId="77777777" w:rsidR="00E2003D" w:rsidRPr="00BC66D1" w:rsidRDefault="00E2003D" w:rsidP="00F161E2">
      <w:pPr>
        <w:jc w:val="both"/>
        <w:rPr>
          <w:rFonts w:asciiTheme="minorHAnsi" w:hAnsiTheme="minorHAnsi" w:cstheme="minorHAnsi"/>
        </w:rPr>
      </w:pPr>
      <w:r w:rsidRPr="00BC66D1">
        <w:rPr>
          <w:rFonts w:asciiTheme="minorHAnsi" w:hAnsiTheme="minorHAnsi" w:cstheme="minorHAnsi"/>
        </w:rPr>
        <w:t>Integracja z Google polega również na możliwości logowania na zabytek.pl za pomocą konta Google. Kiedyś korzystaliśmy jeszcze z api Google Maps i StreetView, ale po wprowadzeniu opłat zrezygnowaliśmy z tych usług.</w:t>
      </w:r>
    </w:p>
    <w:p w14:paraId="2F56F1E0" w14:textId="77777777" w:rsidR="00E2003D" w:rsidRPr="00BC66D1" w:rsidRDefault="00E2003D" w:rsidP="00F161E2">
      <w:pPr>
        <w:jc w:val="both"/>
        <w:rPr>
          <w:rFonts w:asciiTheme="minorHAnsi" w:hAnsiTheme="minorHAnsi" w:cstheme="minorHAnsi"/>
        </w:rPr>
      </w:pPr>
    </w:p>
    <w:p w14:paraId="69482E9F" w14:textId="77777777" w:rsidR="0088710B" w:rsidRPr="00BC66D1" w:rsidRDefault="0088710B" w:rsidP="00F161E2">
      <w:pPr>
        <w:jc w:val="both"/>
        <w:rPr>
          <w:rFonts w:asciiTheme="minorHAnsi" w:hAnsiTheme="minorHAnsi" w:cstheme="minorHAnsi"/>
        </w:rPr>
      </w:pPr>
    </w:p>
    <w:p w14:paraId="02D4AF32" w14:textId="69740F50" w:rsidR="003E618F" w:rsidRPr="00BC66D1" w:rsidRDefault="003E618F" w:rsidP="00F161E2">
      <w:pPr>
        <w:pStyle w:val="Akapitzlist"/>
        <w:numPr>
          <w:ilvl w:val="0"/>
          <w:numId w:val="40"/>
        </w:numPr>
        <w:jc w:val="both"/>
        <w:rPr>
          <w:rFonts w:asciiTheme="minorHAnsi" w:hAnsiTheme="minorHAnsi" w:cstheme="minorHAnsi"/>
        </w:rPr>
      </w:pPr>
      <w:r w:rsidRPr="00BC66D1">
        <w:rPr>
          <w:rFonts w:asciiTheme="minorHAnsi" w:hAnsiTheme="minorHAnsi" w:cstheme="minorHAnsi"/>
        </w:rPr>
        <w:t>Zespół Zadaniowy Rada Architektury</w:t>
      </w:r>
    </w:p>
    <w:p w14:paraId="11E750FE" w14:textId="3FD73A1C" w:rsidR="001D7040" w:rsidRPr="00BC66D1" w:rsidRDefault="00A37F32" w:rsidP="00F161E2">
      <w:pPr>
        <w:jc w:val="both"/>
        <w:rPr>
          <w:rFonts w:asciiTheme="minorHAnsi" w:hAnsiTheme="minorHAnsi" w:cstheme="minorHAnsi"/>
        </w:rPr>
      </w:pPr>
      <w:r w:rsidRPr="00BC66D1">
        <w:rPr>
          <w:rFonts w:asciiTheme="minorHAnsi" w:hAnsiTheme="minorHAnsi" w:cstheme="minorHAnsi"/>
        </w:rPr>
        <w:lastRenderedPageBreak/>
        <w:t>Jednocześnie Rada Architektury IT rekomenduje połączenie projektów „Digitalizacja i udostępnianie trójwymiarowych zasobów dziedzictwa architektonicznego i archeologicznego oraz budowa Platformy Danych Przestrzennych o Zabytkach” i „Digitalizacja i cyfrowe udostępnianie dokumentacji w obszarze ochrony zabytków (w tym dokumentacji archiwalnej) w województwach: lubuskim, małopolskim, mazowieckim, opolskim, podlaskim”.</w:t>
      </w:r>
    </w:p>
    <w:p w14:paraId="08B07025" w14:textId="77777777" w:rsidR="001D7040" w:rsidRPr="00BC66D1" w:rsidRDefault="001D7040" w:rsidP="00F161E2">
      <w:pPr>
        <w:jc w:val="both"/>
        <w:rPr>
          <w:rFonts w:asciiTheme="minorHAnsi" w:hAnsiTheme="minorHAnsi" w:cstheme="minorHAnsi"/>
        </w:rPr>
      </w:pPr>
    </w:p>
    <w:p w14:paraId="29612C8B" w14:textId="4025E05E" w:rsidR="007E6993" w:rsidRPr="00BC66D1" w:rsidRDefault="007E6993" w:rsidP="00F161E2">
      <w:pPr>
        <w:jc w:val="both"/>
        <w:rPr>
          <w:rFonts w:asciiTheme="minorHAnsi" w:hAnsiTheme="minorHAnsi" w:cstheme="minorHAnsi"/>
        </w:rPr>
      </w:pPr>
      <w:r w:rsidRPr="00BC66D1">
        <w:rPr>
          <w:rFonts w:asciiTheme="minorHAnsi" w:hAnsiTheme="minorHAnsi" w:cstheme="minorHAnsi"/>
        </w:rPr>
        <w:t>Ad. 7. Narodowy Instytut Dziedzictwa</w:t>
      </w:r>
    </w:p>
    <w:p w14:paraId="15B28D41" w14:textId="182BFEAD" w:rsidR="00B02530" w:rsidRDefault="00B02530" w:rsidP="00F161E2">
      <w:pPr>
        <w:pStyle w:val="Tekstpodstawowy2"/>
        <w:ind w:left="0"/>
        <w:jc w:val="both"/>
        <w:rPr>
          <w:rFonts w:asciiTheme="minorHAnsi" w:hAnsiTheme="minorHAnsi" w:cstheme="minorHAnsi"/>
          <w:lang w:val="pl-PL"/>
        </w:rPr>
      </w:pPr>
      <w:r w:rsidRPr="00422DA2">
        <w:rPr>
          <w:rFonts w:asciiTheme="minorHAnsi" w:hAnsiTheme="minorHAnsi" w:cstheme="minorHAnsi"/>
          <w:lang w:val="pl-PL"/>
        </w:rPr>
        <w:t xml:space="preserve">Istotą obydwu projektów, oprócz rozbudowy systemu IT jest przede wszystkim przeprowadzenie procesów digitalizacji zasobów, które się istotnie różnią pomiędzy sobą. W związku z tym, Kierownictwo NID podjęło decyzję o realizacji tych przedsięwzięć jako odrębne projekty ze względów organizacyjnych i zarządczych. Nie ma jednak przeszkód aby projekty te mogły być realizowane równolegle. </w:t>
      </w:r>
      <w:r w:rsidR="00A342E1" w:rsidRPr="00422DA2">
        <w:rPr>
          <w:rFonts w:asciiTheme="minorHAnsi" w:hAnsiTheme="minorHAnsi" w:cstheme="minorHAnsi"/>
          <w:lang w:val="pl-PL"/>
        </w:rPr>
        <w:t>Poniżej</w:t>
      </w:r>
      <w:r w:rsidRPr="00422DA2">
        <w:rPr>
          <w:rFonts w:asciiTheme="minorHAnsi" w:hAnsiTheme="minorHAnsi" w:cstheme="minorHAnsi"/>
          <w:lang w:val="pl-PL"/>
        </w:rPr>
        <w:t xml:space="preserve"> </w:t>
      </w:r>
      <w:r w:rsidR="00840050" w:rsidRPr="00422DA2">
        <w:rPr>
          <w:rFonts w:asciiTheme="minorHAnsi" w:hAnsiTheme="minorHAnsi" w:cstheme="minorHAnsi"/>
          <w:lang w:val="pl-PL"/>
        </w:rPr>
        <w:t>omówiono takie podejście</w:t>
      </w:r>
      <w:r w:rsidRPr="00422DA2">
        <w:rPr>
          <w:rFonts w:asciiTheme="minorHAnsi" w:hAnsiTheme="minorHAnsi" w:cstheme="minorHAnsi"/>
          <w:lang w:val="pl-PL"/>
        </w:rPr>
        <w:t xml:space="preserve">. W </w:t>
      </w:r>
      <w:r w:rsidR="00A80011" w:rsidRPr="00422DA2">
        <w:rPr>
          <w:rFonts w:asciiTheme="minorHAnsi" w:hAnsiTheme="minorHAnsi" w:cstheme="minorHAnsi"/>
          <w:lang w:val="pl-PL"/>
        </w:rPr>
        <w:t>obszarze</w:t>
      </w:r>
      <w:r w:rsidR="00422DA2" w:rsidRPr="00422DA2">
        <w:rPr>
          <w:rFonts w:asciiTheme="minorHAnsi" w:hAnsiTheme="minorHAnsi" w:cstheme="minorHAnsi"/>
          <w:lang w:val="pl-PL"/>
        </w:rPr>
        <w:t xml:space="preserve"> Systemu</w:t>
      </w:r>
      <w:r w:rsidRPr="00422DA2">
        <w:rPr>
          <w:rFonts w:asciiTheme="minorHAnsi" w:hAnsiTheme="minorHAnsi" w:cstheme="minorHAnsi"/>
          <w:lang w:val="pl-PL"/>
        </w:rPr>
        <w:t xml:space="preserve"> IT zakres modyfikacji w przypadku każdego projektu</w:t>
      </w:r>
      <w:r w:rsidR="00422DA2" w:rsidRPr="00422DA2">
        <w:rPr>
          <w:rFonts w:asciiTheme="minorHAnsi" w:hAnsiTheme="minorHAnsi" w:cstheme="minorHAnsi"/>
          <w:lang w:val="pl-PL"/>
        </w:rPr>
        <w:t>,</w:t>
      </w:r>
      <w:r w:rsidRPr="00422DA2">
        <w:rPr>
          <w:rFonts w:asciiTheme="minorHAnsi" w:hAnsiTheme="minorHAnsi" w:cstheme="minorHAnsi"/>
          <w:lang w:val="pl-PL"/>
        </w:rPr>
        <w:t xml:space="preserve"> jest ściśle związany z jego specyfiką, dzięki czemu obydwa projekty są wzajemnie komplementarne. Podstawowym założeniem prezentowanego podejścia jest realizacja przebudowy systemu w ramach jednego zamówienia</w:t>
      </w:r>
      <w:r w:rsidR="00422DA2" w:rsidRPr="00422DA2">
        <w:rPr>
          <w:rFonts w:asciiTheme="minorHAnsi" w:hAnsiTheme="minorHAnsi" w:cstheme="minorHAnsi"/>
          <w:lang w:val="pl-PL"/>
        </w:rPr>
        <w:t>,</w:t>
      </w:r>
      <w:r w:rsidRPr="00422DA2">
        <w:rPr>
          <w:rFonts w:asciiTheme="minorHAnsi" w:hAnsiTheme="minorHAnsi" w:cstheme="minorHAnsi"/>
          <w:lang w:val="pl-PL"/>
        </w:rPr>
        <w:t xml:space="preserve"> co wykluczy ryzyko nieuzasadnionego powielania</w:t>
      </w:r>
      <w:r w:rsidR="0095560B" w:rsidRPr="00422DA2">
        <w:rPr>
          <w:rFonts w:asciiTheme="minorHAnsi" w:hAnsiTheme="minorHAnsi" w:cstheme="minorHAnsi"/>
          <w:lang w:val="pl-PL"/>
        </w:rPr>
        <w:t xml:space="preserve"> zakresów oraz nieoptymalnego wykorzystania zasobów.</w:t>
      </w:r>
    </w:p>
    <w:p w14:paraId="4AC11124" w14:textId="77777777" w:rsidR="00463A58" w:rsidRPr="00422DA2" w:rsidRDefault="00463A58" w:rsidP="00F161E2">
      <w:pPr>
        <w:pStyle w:val="Tekstpodstawowy2"/>
        <w:ind w:left="0"/>
        <w:jc w:val="both"/>
        <w:rPr>
          <w:rFonts w:asciiTheme="minorHAnsi" w:hAnsiTheme="minorHAnsi" w:cstheme="minorHAnsi"/>
          <w:lang w:val="pl-PL"/>
        </w:rPr>
      </w:pPr>
    </w:p>
    <w:p w14:paraId="389966E4" w14:textId="77777777" w:rsidR="00746354" w:rsidRPr="00463A58" w:rsidRDefault="00746354" w:rsidP="00F161E2">
      <w:pPr>
        <w:pStyle w:val="Tekstpodstawowy2"/>
        <w:ind w:left="0"/>
        <w:jc w:val="both"/>
        <w:rPr>
          <w:rFonts w:asciiTheme="minorHAnsi" w:hAnsiTheme="minorHAnsi" w:cstheme="minorHAnsi"/>
          <w:b/>
          <w:bCs/>
          <w:lang w:val="pl-PL"/>
        </w:rPr>
      </w:pPr>
      <w:r w:rsidRPr="00463A58">
        <w:rPr>
          <w:rFonts w:asciiTheme="minorHAnsi" w:hAnsiTheme="minorHAnsi" w:cstheme="minorHAnsi"/>
          <w:b/>
          <w:bCs/>
          <w:lang w:val="pl-PL"/>
        </w:rPr>
        <w:t>Opis sposobu zarządzania równoległą realizacją przedsięwzięć w obrębie tego samego Systemu w związku z możliwością prowadzenia przez NID, obok przedmiotowego projektu, również działań w ramach inicjatywy pn.: „Digitalizacja i cyfrowe udostępnianie dokumentacji w obszarze ochrony zabytków (w tym dokumentacji archiwalnej) w województwach: lubuskim, małopolskim, mazowieckim, opolskim, podlaskim”.</w:t>
      </w:r>
    </w:p>
    <w:p w14:paraId="700D0674" w14:textId="6BBB6027" w:rsidR="00746354" w:rsidRPr="00463A58" w:rsidRDefault="00746354" w:rsidP="00F161E2">
      <w:pPr>
        <w:pStyle w:val="Tekstpodstawowy2"/>
        <w:ind w:left="0"/>
        <w:jc w:val="both"/>
        <w:rPr>
          <w:rFonts w:asciiTheme="minorHAnsi" w:hAnsiTheme="minorHAnsi" w:cstheme="minorHAnsi"/>
          <w:lang w:val="pl-PL"/>
        </w:rPr>
      </w:pPr>
      <w:r w:rsidRPr="00463A58">
        <w:rPr>
          <w:rFonts w:asciiTheme="minorHAnsi" w:hAnsiTheme="minorHAnsi" w:cstheme="minorHAnsi"/>
          <w:lang w:val="pl-PL"/>
        </w:rPr>
        <w:t>W związku z szerokim zakresem kompetencji posiadanych przez Narodowy Instytut Dziedzictwa oraz interdyscyplinarnym charakterem podejmowanych działań</w:t>
      </w:r>
      <w:r w:rsidR="00463A58">
        <w:rPr>
          <w:rFonts w:asciiTheme="minorHAnsi" w:hAnsiTheme="minorHAnsi" w:cstheme="minorHAnsi"/>
          <w:lang w:val="pl-PL"/>
        </w:rPr>
        <w:t>,</w:t>
      </w:r>
      <w:r w:rsidRPr="00463A58">
        <w:rPr>
          <w:rFonts w:asciiTheme="minorHAnsi" w:hAnsiTheme="minorHAnsi" w:cstheme="minorHAnsi"/>
          <w:lang w:val="pl-PL"/>
        </w:rPr>
        <w:t xml:space="preserve"> a także szerokim spektrum potrzeb w obszarze ochrony zabytków, kierownictwo NID podjęło decyzję o realizacji dwóch projektów, ubiegając się o ich dofinansowanie w ramach Programu Fundusze Europejskie na Rozwój Cyfrowy 2021-2027; Działanie FERC.02.03 - Cyfrowa dostępność i ponowne wykorzystanie informacji.</w:t>
      </w:r>
    </w:p>
    <w:p w14:paraId="3EBD70E0" w14:textId="77777777" w:rsidR="00746354" w:rsidRPr="00BC66D1" w:rsidRDefault="00746354" w:rsidP="00F161E2">
      <w:pPr>
        <w:pStyle w:val="Tekstpodstawowy2"/>
        <w:ind w:left="0"/>
        <w:jc w:val="both"/>
        <w:rPr>
          <w:rFonts w:asciiTheme="minorHAnsi" w:hAnsiTheme="minorHAnsi" w:cstheme="minorHAnsi"/>
          <w:lang w:val="pl-PL"/>
        </w:rPr>
      </w:pPr>
      <w:r w:rsidRPr="00BC66D1">
        <w:rPr>
          <w:rFonts w:asciiTheme="minorHAnsi" w:hAnsiTheme="minorHAnsi" w:cstheme="minorHAnsi"/>
          <w:lang w:val="pl-PL"/>
        </w:rPr>
        <w:t>Ze względu na konkursowy charakter naboru wniosków, nieuprawnionym jest założenie, że dojdzie do realizacji obydwu projektów. W związku z tym, wykonalność każdego projektu musi zostać zapewniona niezależnie od drugiego, tak aby każdy z nich mógł być zrealizowany samodzielnie. Jednocześnie, w przypadku uzyskania finansowania na oba projekty, zostały przyjęte określone rozwiązania organizacyjne i techniczne, które umożliwią skuteczne i spójne nimi zarządzanie.</w:t>
      </w:r>
    </w:p>
    <w:p w14:paraId="04A00809" w14:textId="77777777" w:rsidR="00746354" w:rsidRPr="00BC66D1" w:rsidRDefault="00746354" w:rsidP="00F161E2">
      <w:pPr>
        <w:jc w:val="both"/>
        <w:rPr>
          <w:rFonts w:asciiTheme="minorHAnsi" w:hAnsiTheme="minorHAnsi" w:cstheme="minorHAnsi"/>
        </w:rPr>
      </w:pPr>
      <w:r w:rsidRPr="00BC66D1">
        <w:rPr>
          <w:rFonts w:asciiTheme="minorHAnsi" w:hAnsiTheme="minorHAnsi" w:cstheme="minorHAnsi"/>
        </w:rPr>
        <w:t>Kierownictwo NID uznało, że z uwagi na złożoność, różnorodną specyfikę oraz skalę planowanych przedsięwzięć, scalanie ich w jeden projekt byłoby nieuzasadnione. Podział na dwa odrębne projekty zapewni większą elastyczność i sprawność realizacji. W przypadku realizacji dwóch projektów równolegle, Narodowy Instytut Dziedzictwa wdroży zintegrowaną strukturę zarządzania programem, której kluczowymi elementami będzie Komitet Sterujący Programu oraz Biura Zarządzania Programem z Kierownikiem programu na czele. Struktura ta zostanie zintegrowana ze strukturą zarządzania każdego z projektów.</w:t>
      </w:r>
    </w:p>
    <w:p w14:paraId="0A60FFC3" w14:textId="77777777" w:rsidR="00746354" w:rsidRPr="00BC66D1" w:rsidRDefault="00746354" w:rsidP="00F161E2">
      <w:pPr>
        <w:jc w:val="both"/>
        <w:rPr>
          <w:rFonts w:asciiTheme="minorHAnsi" w:hAnsiTheme="minorHAnsi" w:cstheme="minorHAnsi"/>
        </w:rPr>
      </w:pPr>
      <w:r w:rsidRPr="00BC66D1">
        <w:rPr>
          <w:rFonts w:asciiTheme="minorHAnsi" w:hAnsiTheme="minorHAnsi" w:cstheme="minorHAnsi"/>
        </w:rPr>
        <w:t xml:space="preserve">W odniesieniu do zadań związanych z rozbudową Systemu NID zaplanowanych w każdym projekcie, zostaną przyjęte rozwiązania umożliwiające uniknięcie dublowania działań, konfliktów w zakresie zakresu modyfikacji oraz zapewnienie spójności i kompatybilności wprowadzanych zmian. W pierwszej kolejności podjęto decyzję o realizacji wspólnych zamówień, w szczególności na usługę doradczą w zakresie opracowania specyfikacji wymagań dla Systemu NID, usługę </w:t>
      </w:r>
      <w:r w:rsidRPr="00BC66D1">
        <w:rPr>
          <w:rFonts w:asciiTheme="minorHAnsi" w:hAnsiTheme="minorHAnsi" w:cstheme="minorHAnsi"/>
        </w:rPr>
        <w:lastRenderedPageBreak/>
        <w:t>rozbudowy oprogramowania Systemu NID, zakup infrastruktury serwerowej, badań UX oraz audytów i testów akceptacyjnych. Ze względu na odmienny zakres i specyfikę każdego z projektów, możliwe jest traktowanie ich jako wzajemnie komplementarnych, a nie konkurencyjnych. Pierwszy projekt koncentruje się na rozbudowie Systemu NID w zakresie digitalizacji zabytków archeologicznych i architektonicznych, natomiast drugi projekt dotyczy digitalizacji i udostępniania dokumentacji archiwalnej z WUOZ wybranych województw. Dzięki temu obydwa przedsięwzięcia mogą uzupełniać się funkcjonalnie, poszerzając dostępne zasoby i możliwości analityczne systemu. Jednocześnie przyjęte wspólne podejście do realizacji, w tym zharmonizowanie procesów i optymalizacja działań poprzez wspólne zamówienia, pozwoli na osiągnięcie efektu synergii, zwiększenie efektywności i racjonalizację kosztów realizacji obu projektów.</w:t>
      </w:r>
    </w:p>
    <w:p w14:paraId="4640A20C" w14:textId="77777777" w:rsidR="00746354" w:rsidRPr="00BC66D1" w:rsidRDefault="00746354" w:rsidP="00F161E2">
      <w:pPr>
        <w:jc w:val="both"/>
        <w:rPr>
          <w:rFonts w:asciiTheme="minorHAnsi" w:hAnsiTheme="minorHAnsi" w:cstheme="minorHAnsi"/>
        </w:rPr>
      </w:pPr>
      <w:r w:rsidRPr="00BC66D1">
        <w:rPr>
          <w:rFonts w:asciiTheme="minorHAnsi" w:hAnsiTheme="minorHAnsi" w:cstheme="minorHAnsi"/>
        </w:rPr>
        <w:t>Dodatkową korzyścią z takiego podejścia będzie wyeliminowanie ryzyka podwójnego finansowania. Niemniej, niezbędne będzie zachowanie w trakcie całego projektu wyraźnych rozgraniczeń, które pozwolą na dokonanie poprawnych rozliczeń kosztów w podziale na dwa projekty.</w:t>
      </w:r>
    </w:p>
    <w:p w14:paraId="389587C4" w14:textId="77777777" w:rsidR="00746354" w:rsidRPr="00BC66D1" w:rsidRDefault="00746354" w:rsidP="00F161E2">
      <w:pPr>
        <w:jc w:val="both"/>
        <w:rPr>
          <w:rFonts w:asciiTheme="minorHAnsi" w:hAnsiTheme="minorHAnsi" w:cstheme="minorHAnsi"/>
        </w:rPr>
      </w:pPr>
      <w:r w:rsidRPr="00BC66D1">
        <w:rPr>
          <w:rFonts w:asciiTheme="minorHAnsi" w:hAnsiTheme="minorHAnsi" w:cstheme="minorHAnsi"/>
        </w:rPr>
        <w:t>Poniżej opisano zakres planowanych zmian w Systemie NID przyjęty dla omawianego projektu, aby zapewnić klarowność podziału zadań oraz wskazać brak występowania konfliktu z drugim projektem. Zmiany te zostały zaprojektowane w sposób ściśle powiązany ze specyfiką projektu.</w:t>
      </w:r>
    </w:p>
    <w:p w14:paraId="5B864923" w14:textId="77777777" w:rsidR="00746354" w:rsidRPr="00BC66D1" w:rsidRDefault="00746354" w:rsidP="00F161E2">
      <w:pPr>
        <w:jc w:val="both"/>
        <w:rPr>
          <w:rFonts w:asciiTheme="minorHAnsi" w:hAnsiTheme="minorHAnsi" w:cstheme="minorHAnsi"/>
        </w:rPr>
      </w:pPr>
    </w:p>
    <w:p w14:paraId="49B0A2E0" w14:textId="77777777" w:rsidR="00746354" w:rsidRPr="00BC66D1" w:rsidRDefault="00746354" w:rsidP="00F161E2">
      <w:pPr>
        <w:spacing w:line="256" w:lineRule="auto"/>
        <w:jc w:val="both"/>
        <w:rPr>
          <w:rFonts w:asciiTheme="minorHAnsi" w:hAnsiTheme="minorHAnsi" w:cstheme="minorHAnsi"/>
          <w:color w:val="000000" w:themeColor="text1"/>
        </w:rPr>
      </w:pPr>
      <w:r w:rsidRPr="00BC66D1">
        <w:rPr>
          <w:rFonts w:asciiTheme="minorHAnsi" w:hAnsiTheme="minorHAnsi" w:cstheme="minorHAnsi"/>
          <w:color w:val="000000" w:themeColor="text1"/>
        </w:rPr>
        <w:t xml:space="preserve">Modyfikacja Systemu NID obejmuje wdrożenie nowego modułu: “Platforma Danych Przestrzennych o Zabytkach”, który umożliwi zaawansowaną wizualizację obiektów zabytkowych w 2D i 3D z opcjami interaktywnej nawigacji oraz narzędziami analitycznymi. Zmiany obejmują także modyfikację wybranych komponentów wewnętrznych Systemu NID. Ich wprowadzenie związane jest ściśle z nowymi funkcjonalnościami oraz nowymi kategoriami danych wprowadzanych do Systemu NID w ramach projektu. W związku z powyższym, każda zmiana istniejącego modułu będzie mogła być jednoznacznie przypisana do zakresu projektu i identyfikowana poprzez odniesienie do: danych gromadzonych w związku z digitalizacją zabytków archeologicznych, danych gromadzonych w związku z digitalizacją zabytków architektonicznych wchodzących w zakres projektu oraz w związku z uruchomionymi nowymi funkcjonalnościami na Platformie Danych Przestrzennych o Zabytkach. </w:t>
      </w:r>
    </w:p>
    <w:p w14:paraId="18653914" w14:textId="77777777" w:rsidR="00746354" w:rsidRPr="00BC66D1" w:rsidRDefault="00746354" w:rsidP="00F161E2">
      <w:pPr>
        <w:spacing w:line="256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7E4B759A" w14:textId="77777777" w:rsidR="00746354" w:rsidRPr="00BC66D1" w:rsidRDefault="00746354" w:rsidP="00F161E2">
      <w:pPr>
        <w:jc w:val="both"/>
        <w:rPr>
          <w:rFonts w:asciiTheme="minorHAnsi" w:hAnsiTheme="minorHAnsi" w:cstheme="minorHAnsi"/>
        </w:rPr>
      </w:pPr>
      <w:r w:rsidRPr="00BC66D1">
        <w:rPr>
          <w:rFonts w:asciiTheme="minorHAnsi" w:hAnsiTheme="minorHAnsi" w:cstheme="minorHAnsi"/>
        </w:rPr>
        <w:t>Moduły podlegające modyfikacji i specyfika zmian:</w:t>
      </w:r>
    </w:p>
    <w:p w14:paraId="2FEB7DC5" w14:textId="77777777" w:rsidR="00746354" w:rsidRPr="00BC66D1" w:rsidRDefault="00746354" w:rsidP="00F161E2">
      <w:pPr>
        <w:jc w:val="both"/>
        <w:rPr>
          <w:rFonts w:asciiTheme="minorHAnsi" w:hAnsiTheme="minorHAnsi" w:cstheme="minorHAnsi"/>
        </w:rPr>
      </w:pPr>
      <w:r w:rsidRPr="00BC66D1">
        <w:rPr>
          <w:rFonts w:asciiTheme="minorHAnsi" w:hAnsiTheme="minorHAnsi" w:cstheme="minorHAnsi"/>
        </w:rPr>
        <w:t>Portal zabytek.pl – rozbudowa funkcji obsługujących wymianę danych pomiędzy zabytek.pl i Platformą Danych Przestrzennych o Zabytkach;</w:t>
      </w:r>
    </w:p>
    <w:p w14:paraId="7844CCE6" w14:textId="77777777" w:rsidR="00746354" w:rsidRPr="00BC66D1" w:rsidRDefault="00746354" w:rsidP="00F161E2">
      <w:pPr>
        <w:jc w:val="both"/>
        <w:rPr>
          <w:rFonts w:asciiTheme="minorHAnsi" w:hAnsiTheme="minorHAnsi" w:cstheme="minorHAnsi"/>
        </w:rPr>
      </w:pPr>
      <w:r w:rsidRPr="00BC66D1">
        <w:rPr>
          <w:rFonts w:asciiTheme="minorHAnsi" w:hAnsiTheme="minorHAnsi" w:cstheme="minorHAnsi"/>
        </w:rPr>
        <w:t>Aplikacja do Zarządzania Skanowaną Dokumentacją – rozbudowa funkcji w zakresie obsługi plików źródłowych pochodzących z digitalizacji 3D zabytków archeologicznych i architektonicznych,</w:t>
      </w:r>
    </w:p>
    <w:p w14:paraId="027587B3" w14:textId="77777777" w:rsidR="00746354" w:rsidRPr="00BC66D1" w:rsidRDefault="00746354" w:rsidP="00F161E2">
      <w:pPr>
        <w:jc w:val="both"/>
        <w:rPr>
          <w:rFonts w:asciiTheme="minorHAnsi" w:hAnsiTheme="minorHAnsi" w:cstheme="minorHAnsi"/>
        </w:rPr>
      </w:pPr>
      <w:r w:rsidRPr="00BC66D1">
        <w:rPr>
          <w:rFonts w:asciiTheme="minorHAnsi" w:hAnsiTheme="minorHAnsi" w:cstheme="minorHAnsi"/>
        </w:rPr>
        <w:t xml:space="preserve">Moduł Wizualizacji Chmur Punktów i Modeli 3D – integracja funkcji wizualizacji chmur punktów i modeli 3D z Platformą Danych Przestrzennych o Zabytkach (zastąpienie aplikacji Cumulus nowymi narzędziami); </w:t>
      </w:r>
    </w:p>
    <w:p w14:paraId="71E3801E" w14:textId="77777777" w:rsidR="00746354" w:rsidRPr="00BC66D1" w:rsidRDefault="00746354" w:rsidP="00F161E2">
      <w:pPr>
        <w:jc w:val="both"/>
        <w:rPr>
          <w:rFonts w:asciiTheme="minorHAnsi" w:hAnsiTheme="minorHAnsi" w:cstheme="minorHAnsi"/>
        </w:rPr>
      </w:pPr>
      <w:r w:rsidRPr="00BC66D1">
        <w:rPr>
          <w:rFonts w:asciiTheme="minorHAnsi" w:hAnsiTheme="minorHAnsi" w:cstheme="minorHAnsi"/>
        </w:rPr>
        <w:t>Moduł Analizy i Przetwarzania Danych GIS – zmiana funkcjonalności umożliwiającej obsługę nowych serii danych będących produktem procesu digitalizacji 3D zabytków archeologicznych i architektonicznych, integracja z Platformą Danych Przestrzennych o Zabytkach na poziomie narzędzi do analiz NMT;</w:t>
      </w:r>
    </w:p>
    <w:p w14:paraId="3FB6F18B" w14:textId="77777777" w:rsidR="00746354" w:rsidRPr="00BC66D1" w:rsidRDefault="00746354" w:rsidP="00F161E2">
      <w:pPr>
        <w:jc w:val="both"/>
        <w:rPr>
          <w:rFonts w:asciiTheme="minorHAnsi" w:hAnsiTheme="minorHAnsi" w:cstheme="minorHAnsi"/>
        </w:rPr>
      </w:pPr>
      <w:r w:rsidRPr="00BC66D1">
        <w:rPr>
          <w:rFonts w:asciiTheme="minorHAnsi" w:hAnsiTheme="minorHAnsi" w:cstheme="minorHAnsi"/>
        </w:rPr>
        <w:t>Moduł Baz Danych o Zabytkach - Rozbudowa modelu danych obejmująca zasób zgromadzony w wyniku digitalizacji 3D zabytków archeologicznych i architektonicznych;</w:t>
      </w:r>
    </w:p>
    <w:p w14:paraId="685D289A" w14:textId="77777777" w:rsidR="00746354" w:rsidRPr="00BC66D1" w:rsidRDefault="00746354" w:rsidP="00F161E2">
      <w:pPr>
        <w:jc w:val="both"/>
        <w:rPr>
          <w:rFonts w:asciiTheme="minorHAnsi" w:hAnsiTheme="minorHAnsi" w:cstheme="minorHAnsi"/>
        </w:rPr>
      </w:pPr>
      <w:r w:rsidRPr="00BC66D1">
        <w:rPr>
          <w:rFonts w:asciiTheme="minorHAnsi" w:hAnsiTheme="minorHAnsi" w:cstheme="minorHAnsi"/>
        </w:rPr>
        <w:t>Moduł Zarzadzania Repozytoriami plików – utworzenie nowych repozytoriów plików (repozytorium plików źródłowych i repozytorium plików prezentacyjnych) dla nowych kategorii danych powstałych w wyniku digitalizacji 3D zabytków archeologicznych i architektonicznych;</w:t>
      </w:r>
    </w:p>
    <w:p w14:paraId="58EB843F" w14:textId="77777777" w:rsidR="00746354" w:rsidRPr="00BC66D1" w:rsidRDefault="00746354" w:rsidP="00F161E2">
      <w:pPr>
        <w:jc w:val="both"/>
        <w:rPr>
          <w:rFonts w:asciiTheme="minorHAnsi" w:hAnsiTheme="minorHAnsi" w:cstheme="minorHAnsi"/>
        </w:rPr>
      </w:pPr>
      <w:r w:rsidRPr="00BC66D1">
        <w:rPr>
          <w:rFonts w:asciiTheme="minorHAnsi" w:hAnsiTheme="minorHAnsi" w:cstheme="minorHAnsi"/>
        </w:rPr>
        <w:t xml:space="preserve">API dostępu do danych zabytków – budowa nowego API w celu udostępniania zasobu danych 3D zabytków architektonicznych i archeologicznych; </w:t>
      </w:r>
    </w:p>
    <w:p w14:paraId="5E3D38BB" w14:textId="77777777" w:rsidR="00746354" w:rsidRPr="00BC66D1" w:rsidRDefault="00746354" w:rsidP="00F161E2">
      <w:pPr>
        <w:jc w:val="both"/>
        <w:rPr>
          <w:rFonts w:asciiTheme="minorHAnsi" w:hAnsiTheme="minorHAnsi" w:cstheme="minorHAnsi"/>
        </w:rPr>
      </w:pPr>
      <w:r w:rsidRPr="00BC66D1">
        <w:rPr>
          <w:rFonts w:asciiTheme="minorHAnsi" w:hAnsiTheme="minorHAnsi" w:cstheme="minorHAnsi"/>
        </w:rPr>
        <w:lastRenderedPageBreak/>
        <w:t>Moduł Zarządzania Danymi i Metadanymi - Modyfikacja umożliwiająca obsługę przystosowaną do nowych serii danych powstałych w wyniku digitalizacji 3D zabytków archeologicznych i architektonicznych;</w:t>
      </w:r>
    </w:p>
    <w:p w14:paraId="6DB64196" w14:textId="5537F4A4" w:rsidR="00746354" w:rsidRPr="00BC66D1" w:rsidRDefault="00746354" w:rsidP="00F161E2">
      <w:pPr>
        <w:jc w:val="both"/>
        <w:rPr>
          <w:rFonts w:asciiTheme="minorHAnsi" w:hAnsiTheme="minorHAnsi" w:cstheme="minorHAnsi"/>
        </w:rPr>
      </w:pPr>
      <w:r w:rsidRPr="00BC66D1">
        <w:rPr>
          <w:rFonts w:asciiTheme="minorHAnsi" w:hAnsiTheme="minorHAnsi" w:cstheme="minorHAnsi"/>
        </w:rPr>
        <w:t>Geoportal mapy.zabytek.gov.pl – pełna integracja ze środowiskiem Portalu Danych Przestrzennych o Zabytkach</w:t>
      </w:r>
      <w:r w:rsidR="005F6DE2">
        <w:rPr>
          <w:rFonts w:asciiTheme="minorHAnsi" w:hAnsiTheme="minorHAnsi" w:cstheme="minorHAnsi"/>
        </w:rPr>
        <w:t>.</w:t>
      </w:r>
    </w:p>
    <w:p w14:paraId="03FF07AA" w14:textId="77777777" w:rsidR="00746354" w:rsidRPr="00BC66D1" w:rsidRDefault="00746354" w:rsidP="00F161E2">
      <w:pPr>
        <w:jc w:val="both"/>
        <w:rPr>
          <w:rFonts w:asciiTheme="minorHAnsi" w:hAnsiTheme="minorHAnsi" w:cstheme="minorHAnsi"/>
        </w:rPr>
      </w:pPr>
    </w:p>
    <w:p w14:paraId="61DB6408" w14:textId="77777777" w:rsidR="00746354" w:rsidRDefault="00746354" w:rsidP="007E6993">
      <w:pPr>
        <w:rPr>
          <w:rFonts w:asciiTheme="minorHAnsi" w:hAnsiTheme="minorHAnsi" w:cstheme="minorHAnsi"/>
        </w:rPr>
      </w:pPr>
    </w:p>
    <w:p w14:paraId="6EFACF9D" w14:textId="1EB8B241" w:rsidR="001F64D0" w:rsidRDefault="001F64D0" w:rsidP="007E699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Zestaw 5:</w:t>
      </w:r>
    </w:p>
    <w:p w14:paraId="7EB3A674" w14:textId="36A162E0" w:rsidR="00277671" w:rsidRPr="00473EC2" w:rsidRDefault="00277671" w:rsidP="00277671">
      <w:pPr>
        <w:rPr>
          <w:rFonts w:asciiTheme="minorHAnsi" w:hAnsiTheme="minorHAnsi" w:cstheme="minorHAnsi"/>
          <w:b/>
          <w:bCs/>
        </w:rPr>
      </w:pPr>
      <w:r w:rsidRPr="00473EC2">
        <w:rPr>
          <w:rFonts w:asciiTheme="minorHAnsi" w:hAnsiTheme="minorHAnsi" w:cstheme="minorHAnsi"/>
          <w:b/>
          <w:bCs/>
        </w:rPr>
        <w:t>Odniesienie do uwag przekazanych w załączeniu do pisma</w:t>
      </w:r>
      <w:r>
        <w:rPr>
          <w:rFonts w:asciiTheme="minorHAnsi" w:hAnsiTheme="minorHAnsi" w:cstheme="minorHAnsi"/>
          <w:b/>
          <w:bCs/>
        </w:rPr>
        <w:t xml:space="preserve"> Ministerstwa </w:t>
      </w:r>
      <w:r w:rsidR="00AD17EA">
        <w:rPr>
          <w:rFonts w:asciiTheme="minorHAnsi" w:hAnsiTheme="minorHAnsi" w:cstheme="minorHAnsi"/>
          <w:b/>
          <w:bCs/>
        </w:rPr>
        <w:t xml:space="preserve">Funduszy i Polityki Regionalnej z dnia </w:t>
      </w:r>
      <w:r w:rsidR="00D841CC">
        <w:rPr>
          <w:rFonts w:asciiTheme="minorHAnsi" w:hAnsiTheme="minorHAnsi" w:cstheme="minorHAnsi"/>
          <w:b/>
          <w:bCs/>
        </w:rPr>
        <w:t>19 grudnia 2024 r. o numerze DRC-IVa.0221.225.2024.IT</w:t>
      </w:r>
    </w:p>
    <w:p w14:paraId="13AC8204" w14:textId="77777777" w:rsidR="001F64D0" w:rsidRDefault="001F64D0" w:rsidP="007E6993">
      <w:pPr>
        <w:rPr>
          <w:rFonts w:asciiTheme="minorHAnsi" w:hAnsiTheme="minorHAnsi" w:cstheme="minorHAnsi"/>
        </w:rPr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276"/>
        <w:gridCol w:w="5245"/>
        <w:gridCol w:w="5103"/>
        <w:gridCol w:w="2068"/>
      </w:tblGrid>
      <w:tr w:rsidR="001A1494" w:rsidRPr="00A06425" w14:paraId="564C320C" w14:textId="77777777" w:rsidTr="00853672">
        <w:tc>
          <w:tcPr>
            <w:tcW w:w="15388" w:type="dxa"/>
            <w:gridSpan w:val="6"/>
            <w:shd w:val="clear" w:color="auto" w:fill="auto"/>
            <w:vAlign w:val="center"/>
          </w:tcPr>
          <w:p w14:paraId="468F28F8" w14:textId="77777777" w:rsidR="001A1494" w:rsidRPr="00060224" w:rsidRDefault="001A1494" w:rsidP="00853672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060224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Opis Założeń Projektu Informatycznego  „Digitalizacja i udostępnianie trójwymiarowych zasobów dziedzictwa architektonicznego i archeologicznego oraz budowa Platformy Danych Przestrzennych o Zabytkach”, wnioskodawca Ministerstwo Kultury i Dziedzictwa Narodowego, beneficjent Narodowy Instytut Dziedzictwa</w:t>
            </w:r>
          </w:p>
          <w:p w14:paraId="7D238257" w14:textId="77777777" w:rsidR="001A1494" w:rsidRPr="00A06425" w:rsidRDefault="001A1494" w:rsidP="00853672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1A1494" w:rsidRPr="00A06425" w14:paraId="034C0449" w14:textId="77777777" w:rsidTr="001F6D0F">
        <w:tc>
          <w:tcPr>
            <w:tcW w:w="562" w:type="dxa"/>
            <w:shd w:val="clear" w:color="auto" w:fill="auto"/>
            <w:vAlign w:val="center"/>
          </w:tcPr>
          <w:p w14:paraId="4428ECAC" w14:textId="77777777" w:rsidR="001A1494" w:rsidRPr="00A06425" w:rsidRDefault="001A1494" w:rsidP="0085367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0C550D" w14:textId="77777777" w:rsidR="001A1494" w:rsidRPr="00A06425" w:rsidRDefault="001A1494" w:rsidP="0085367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27DA5F" w14:textId="77777777" w:rsidR="001A1494" w:rsidRPr="00A06425" w:rsidRDefault="001A1494" w:rsidP="0085367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0F131B8" w14:textId="77777777" w:rsidR="001A1494" w:rsidRPr="00A06425" w:rsidRDefault="001A1494" w:rsidP="0085367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00D5D6C" w14:textId="77777777" w:rsidR="001A1494" w:rsidRPr="00A06425" w:rsidRDefault="001A1494" w:rsidP="0085367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068" w:type="dxa"/>
            <w:vAlign w:val="center"/>
          </w:tcPr>
          <w:p w14:paraId="4BC5EE19" w14:textId="77777777" w:rsidR="001A1494" w:rsidRPr="00A06425" w:rsidRDefault="001A1494" w:rsidP="0085367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1A1494" w:rsidRPr="00A06425" w14:paraId="45090E8F" w14:textId="77777777" w:rsidTr="001F6D0F">
        <w:tc>
          <w:tcPr>
            <w:tcW w:w="562" w:type="dxa"/>
            <w:shd w:val="clear" w:color="auto" w:fill="auto"/>
          </w:tcPr>
          <w:p w14:paraId="164D17C6" w14:textId="77777777" w:rsidR="001A1494" w:rsidRPr="00A06425" w:rsidRDefault="001A1494" w:rsidP="0085367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695C3B3" w14:textId="58C4D77A" w:rsidR="001A1494" w:rsidRPr="00A06425" w:rsidRDefault="009F509B" w:rsidP="0085367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509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MFiPR</w:t>
            </w:r>
          </w:p>
        </w:tc>
        <w:tc>
          <w:tcPr>
            <w:tcW w:w="1276" w:type="dxa"/>
            <w:shd w:val="clear" w:color="auto" w:fill="auto"/>
          </w:tcPr>
          <w:p w14:paraId="64A34FD5" w14:textId="77777777" w:rsidR="009F509B" w:rsidRPr="009F509B" w:rsidRDefault="009F509B" w:rsidP="009F50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509B">
              <w:rPr>
                <w:rFonts w:asciiTheme="minorHAnsi" w:hAnsiTheme="minorHAnsi" w:cstheme="minorHAnsi"/>
                <w:sz w:val="22"/>
                <w:szCs w:val="22"/>
              </w:rPr>
              <w:t>2.1 2.1. Cele i</w:t>
            </w:r>
          </w:p>
          <w:p w14:paraId="683A9BE2" w14:textId="77777777" w:rsidR="009F509B" w:rsidRPr="009F509B" w:rsidRDefault="009F509B" w:rsidP="009F50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509B">
              <w:rPr>
                <w:rFonts w:asciiTheme="minorHAnsi" w:hAnsiTheme="minorHAnsi" w:cstheme="minorHAnsi"/>
                <w:sz w:val="22"/>
                <w:szCs w:val="22"/>
              </w:rPr>
              <w:t>korzyści</w:t>
            </w:r>
          </w:p>
          <w:p w14:paraId="2B7B1075" w14:textId="77777777" w:rsidR="009F509B" w:rsidRPr="009F509B" w:rsidRDefault="009F509B" w:rsidP="009F50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509B">
              <w:rPr>
                <w:rFonts w:asciiTheme="minorHAnsi" w:hAnsiTheme="minorHAnsi" w:cstheme="minorHAnsi"/>
                <w:sz w:val="22"/>
                <w:szCs w:val="22"/>
              </w:rPr>
              <w:t>wynikające z</w:t>
            </w:r>
          </w:p>
          <w:p w14:paraId="5A81806B" w14:textId="2B332CCD" w:rsidR="001A1494" w:rsidRPr="00A06425" w:rsidRDefault="009F509B" w:rsidP="009F50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509B">
              <w:rPr>
                <w:rFonts w:asciiTheme="minorHAnsi" w:hAnsiTheme="minorHAnsi" w:cstheme="minorHAnsi"/>
                <w:sz w:val="22"/>
                <w:szCs w:val="22"/>
              </w:rPr>
              <w:t>projektu</w:t>
            </w:r>
          </w:p>
        </w:tc>
        <w:tc>
          <w:tcPr>
            <w:tcW w:w="5245" w:type="dxa"/>
            <w:shd w:val="clear" w:color="auto" w:fill="auto"/>
          </w:tcPr>
          <w:p w14:paraId="58B21A20" w14:textId="77777777" w:rsidR="00ED39C3" w:rsidRPr="00ED39C3" w:rsidRDefault="00ED39C3" w:rsidP="00ED39C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39C3">
              <w:rPr>
                <w:rFonts w:asciiTheme="minorHAnsi" w:hAnsiTheme="minorHAnsi" w:cstheme="minorHAnsi"/>
                <w:sz w:val="22"/>
                <w:szCs w:val="22"/>
              </w:rPr>
              <w:t>Brak w opisie wskaźników:</w:t>
            </w:r>
          </w:p>
          <w:p w14:paraId="43A128C6" w14:textId="77777777" w:rsidR="00ED39C3" w:rsidRPr="00ED39C3" w:rsidRDefault="00ED39C3" w:rsidP="00ED39C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39C3">
              <w:rPr>
                <w:rFonts w:asciiTheme="minorHAnsi" w:hAnsiTheme="minorHAnsi" w:cstheme="minorHAnsi"/>
                <w:sz w:val="22"/>
                <w:szCs w:val="22"/>
              </w:rPr>
              <w:t>- Instytucje publiczne otrzymujące wsparcie na</w:t>
            </w:r>
          </w:p>
          <w:p w14:paraId="18A60408" w14:textId="77777777" w:rsidR="00ED39C3" w:rsidRPr="00ED39C3" w:rsidRDefault="00ED39C3" w:rsidP="00ED39C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39C3">
              <w:rPr>
                <w:rFonts w:asciiTheme="minorHAnsi" w:hAnsiTheme="minorHAnsi" w:cstheme="minorHAnsi"/>
                <w:sz w:val="22"/>
                <w:szCs w:val="22"/>
              </w:rPr>
              <w:t>opracowywanie usług, produktów i procesów</w:t>
            </w:r>
          </w:p>
          <w:p w14:paraId="33F5610D" w14:textId="77777777" w:rsidR="00ED39C3" w:rsidRPr="00ED39C3" w:rsidRDefault="00ED39C3" w:rsidP="00ED39C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39C3">
              <w:rPr>
                <w:rFonts w:asciiTheme="minorHAnsi" w:hAnsiTheme="minorHAnsi" w:cstheme="minorHAnsi"/>
                <w:sz w:val="22"/>
                <w:szCs w:val="22"/>
              </w:rPr>
              <w:t>cyfrowych (1 szt.)</w:t>
            </w:r>
          </w:p>
          <w:p w14:paraId="679907C3" w14:textId="77777777" w:rsidR="00ED39C3" w:rsidRPr="00ED39C3" w:rsidRDefault="00ED39C3" w:rsidP="00ED39C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39C3">
              <w:rPr>
                <w:rFonts w:asciiTheme="minorHAnsi" w:hAnsiTheme="minorHAnsi" w:cstheme="minorHAnsi"/>
                <w:sz w:val="22"/>
                <w:szCs w:val="22"/>
              </w:rPr>
              <w:t>- Liczba podmiotów wspartych w zakresie</w:t>
            </w:r>
          </w:p>
          <w:p w14:paraId="74CBAE16" w14:textId="77777777" w:rsidR="00ED39C3" w:rsidRPr="00ED39C3" w:rsidRDefault="00ED39C3" w:rsidP="00ED39C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39C3">
              <w:rPr>
                <w:rFonts w:asciiTheme="minorHAnsi" w:hAnsiTheme="minorHAnsi" w:cstheme="minorHAnsi"/>
                <w:sz w:val="22"/>
                <w:szCs w:val="22"/>
              </w:rPr>
              <w:t>rozwoju usług, produktów i procesów cyfrowych</w:t>
            </w:r>
          </w:p>
          <w:p w14:paraId="44E2718F" w14:textId="77777777" w:rsidR="00ED39C3" w:rsidRPr="00ED39C3" w:rsidRDefault="00ED39C3" w:rsidP="00ED39C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39C3">
              <w:rPr>
                <w:rFonts w:asciiTheme="minorHAnsi" w:hAnsiTheme="minorHAnsi" w:cstheme="minorHAnsi"/>
                <w:sz w:val="22"/>
                <w:szCs w:val="22"/>
              </w:rPr>
              <w:t>(1 szt.)</w:t>
            </w:r>
          </w:p>
          <w:p w14:paraId="3E2B669F" w14:textId="77777777" w:rsidR="00ED39C3" w:rsidRPr="00ED39C3" w:rsidRDefault="00ED39C3" w:rsidP="00ED39C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39C3">
              <w:rPr>
                <w:rFonts w:asciiTheme="minorHAnsi" w:hAnsiTheme="minorHAnsi" w:cstheme="minorHAnsi"/>
                <w:sz w:val="22"/>
                <w:szCs w:val="22"/>
              </w:rPr>
              <w:t>oraz ewentualnie:</w:t>
            </w:r>
          </w:p>
          <w:p w14:paraId="220CBC47" w14:textId="77777777" w:rsidR="00ED39C3" w:rsidRPr="00ED39C3" w:rsidRDefault="00ED39C3" w:rsidP="00ED39C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39C3">
              <w:rPr>
                <w:rFonts w:asciiTheme="minorHAnsi" w:hAnsiTheme="minorHAnsi" w:cstheme="minorHAnsi"/>
                <w:sz w:val="22"/>
                <w:szCs w:val="22"/>
              </w:rPr>
              <w:t>- Wartość́ usług, produktów i procesów</w:t>
            </w:r>
          </w:p>
          <w:p w14:paraId="5D9FB374" w14:textId="77777777" w:rsidR="00ED39C3" w:rsidRPr="00ED39C3" w:rsidRDefault="00ED39C3" w:rsidP="00ED39C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39C3">
              <w:rPr>
                <w:rFonts w:asciiTheme="minorHAnsi" w:hAnsiTheme="minorHAnsi" w:cstheme="minorHAnsi"/>
                <w:sz w:val="22"/>
                <w:szCs w:val="22"/>
              </w:rPr>
              <w:t>cyfrowych opracowanych dla przedsiębiorstw (o</w:t>
            </w:r>
          </w:p>
          <w:p w14:paraId="52B443CE" w14:textId="77777777" w:rsidR="00ED39C3" w:rsidRPr="00ED39C3" w:rsidRDefault="00ED39C3" w:rsidP="00ED39C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39C3">
              <w:rPr>
                <w:rFonts w:asciiTheme="minorHAnsi" w:hAnsiTheme="minorHAnsi" w:cstheme="minorHAnsi"/>
                <w:sz w:val="22"/>
                <w:szCs w:val="22"/>
              </w:rPr>
              <w:t>ile wsparcie skierowane jest także do</w:t>
            </w:r>
          </w:p>
          <w:p w14:paraId="29F8961E" w14:textId="689A076E" w:rsidR="001A1494" w:rsidRPr="009434F8" w:rsidRDefault="00ED39C3" w:rsidP="00ED39C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39C3">
              <w:rPr>
                <w:rFonts w:asciiTheme="minorHAnsi" w:hAnsiTheme="minorHAnsi" w:cstheme="minorHAnsi"/>
                <w:sz w:val="22"/>
                <w:szCs w:val="22"/>
              </w:rPr>
              <w:t>przedsiębiorców).</w:t>
            </w:r>
          </w:p>
        </w:tc>
        <w:tc>
          <w:tcPr>
            <w:tcW w:w="5103" w:type="dxa"/>
            <w:shd w:val="clear" w:color="auto" w:fill="auto"/>
          </w:tcPr>
          <w:p w14:paraId="40A3CB93" w14:textId="1C2F9F47" w:rsidR="001A1494" w:rsidRPr="009434F8" w:rsidRDefault="00ED39C3" w:rsidP="008536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39C3">
              <w:rPr>
                <w:rFonts w:asciiTheme="minorHAnsi" w:hAnsiTheme="minorHAnsi" w:cstheme="minorHAnsi"/>
                <w:sz w:val="22"/>
                <w:szCs w:val="22"/>
              </w:rPr>
              <w:t>Proszę o uzupełnienie wskaźników.</w:t>
            </w:r>
          </w:p>
        </w:tc>
        <w:tc>
          <w:tcPr>
            <w:tcW w:w="2068" w:type="dxa"/>
          </w:tcPr>
          <w:p w14:paraId="66C59599" w14:textId="33218D85" w:rsidR="001A1494" w:rsidRPr="00A06425" w:rsidRDefault="00ED39C3" w:rsidP="008536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Wskaźniki zostały uzupełnione zgodnie z propozycją zmian zapisu</w:t>
            </w:r>
          </w:p>
        </w:tc>
      </w:tr>
    </w:tbl>
    <w:p w14:paraId="44E955D8" w14:textId="77777777" w:rsidR="001A1494" w:rsidRDefault="001A1494" w:rsidP="007E6993">
      <w:pPr>
        <w:rPr>
          <w:rFonts w:asciiTheme="minorHAnsi" w:hAnsiTheme="minorHAnsi" w:cstheme="minorHAnsi"/>
        </w:rPr>
      </w:pPr>
    </w:p>
    <w:p w14:paraId="49525B14" w14:textId="77777777" w:rsidR="00314651" w:rsidRDefault="00314651" w:rsidP="007E6993">
      <w:pPr>
        <w:rPr>
          <w:rFonts w:asciiTheme="minorHAnsi" w:hAnsiTheme="minorHAnsi" w:cstheme="minorHAnsi"/>
        </w:rPr>
      </w:pPr>
    </w:p>
    <w:p w14:paraId="523C0E12" w14:textId="6EF0AEC2" w:rsidR="00314651" w:rsidRDefault="00314651" w:rsidP="0031465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Zestaw </w:t>
      </w:r>
      <w:r>
        <w:rPr>
          <w:rFonts w:asciiTheme="minorHAnsi" w:hAnsiTheme="minorHAnsi" w:cstheme="minorHAnsi"/>
        </w:rPr>
        <w:t>6</w:t>
      </w:r>
      <w:r>
        <w:rPr>
          <w:rFonts w:asciiTheme="minorHAnsi" w:hAnsiTheme="minorHAnsi" w:cstheme="minorHAnsi"/>
        </w:rPr>
        <w:t>:</w:t>
      </w:r>
    </w:p>
    <w:p w14:paraId="64F4BCD3" w14:textId="3AC7BE33" w:rsidR="00314651" w:rsidRDefault="00314651" w:rsidP="00314651">
      <w:pPr>
        <w:rPr>
          <w:rFonts w:asciiTheme="minorHAnsi" w:hAnsiTheme="minorHAnsi" w:cstheme="minorHAnsi"/>
          <w:b/>
          <w:bCs/>
        </w:rPr>
      </w:pPr>
      <w:r w:rsidRPr="00473EC2">
        <w:rPr>
          <w:rFonts w:asciiTheme="minorHAnsi" w:hAnsiTheme="minorHAnsi" w:cstheme="minorHAnsi"/>
          <w:b/>
          <w:bCs/>
        </w:rPr>
        <w:lastRenderedPageBreak/>
        <w:t>Odniesienie do uwag przekazanych w załączeniu do pisma</w:t>
      </w:r>
      <w:r>
        <w:rPr>
          <w:rFonts w:asciiTheme="minorHAnsi" w:hAnsiTheme="minorHAnsi" w:cstheme="minorHAnsi"/>
          <w:b/>
          <w:bCs/>
        </w:rPr>
        <w:t xml:space="preserve"> Ministerstwa </w:t>
      </w:r>
      <w:r>
        <w:rPr>
          <w:rFonts w:asciiTheme="minorHAnsi" w:hAnsiTheme="minorHAnsi" w:cstheme="minorHAnsi"/>
          <w:b/>
          <w:bCs/>
        </w:rPr>
        <w:t>Finansów</w:t>
      </w:r>
      <w:r>
        <w:rPr>
          <w:rFonts w:asciiTheme="minorHAnsi" w:hAnsiTheme="minorHAnsi" w:cstheme="minorHAnsi"/>
          <w:b/>
          <w:bCs/>
        </w:rPr>
        <w:t xml:space="preserve"> z dnia </w:t>
      </w:r>
      <w:r w:rsidR="00252297">
        <w:rPr>
          <w:rFonts w:asciiTheme="minorHAnsi" w:hAnsiTheme="minorHAnsi" w:cstheme="minorHAnsi"/>
          <w:b/>
          <w:bCs/>
        </w:rPr>
        <w:t>20</w:t>
      </w:r>
      <w:r>
        <w:rPr>
          <w:rFonts w:asciiTheme="minorHAnsi" w:hAnsiTheme="minorHAnsi" w:cstheme="minorHAnsi"/>
          <w:b/>
          <w:bCs/>
        </w:rPr>
        <w:t xml:space="preserve"> grudnia 2024 r. o numerze </w:t>
      </w:r>
      <w:r w:rsidR="00252297" w:rsidRPr="00252297">
        <w:rPr>
          <w:rFonts w:asciiTheme="minorHAnsi" w:hAnsiTheme="minorHAnsi" w:cstheme="minorHAnsi"/>
          <w:b/>
          <w:bCs/>
        </w:rPr>
        <w:t>DTC6.021.43.2024</w:t>
      </w:r>
    </w:p>
    <w:p w14:paraId="0898D732" w14:textId="77777777" w:rsidR="00252297" w:rsidRDefault="00252297" w:rsidP="00314651">
      <w:pPr>
        <w:rPr>
          <w:rFonts w:asciiTheme="minorHAnsi" w:hAnsiTheme="minorHAnsi" w:cstheme="minorHAnsi"/>
          <w:b/>
          <w:bCs/>
        </w:rPr>
      </w:pPr>
    </w:p>
    <w:p w14:paraId="6F9CCB56" w14:textId="77777777" w:rsidR="00252297" w:rsidRPr="00473EC2" w:rsidRDefault="00252297" w:rsidP="00314651">
      <w:pPr>
        <w:rPr>
          <w:rFonts w:asciiTheme="minorHAnsi" w:hAnsiTheme="minorHAnsi" w:cstheme="minorHAnsi"/>
          <w:b/>
          <w:bCs/>
        </w:rPr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276"/>
        <w:gridCol w:w="5245"/>
        <w:gridCol w:w="5103"/>
        <w:gridCol w:w="2068"/>
      </w:tblGrid>
      <w:tr w:rsidR="00252297" w:rsidRPr="00A06425" w14:paraId="501330C8" w14:textId="77777777" w:rsidTr="008E25BA">
        <w:tc>
          <w:tcPr>
            <w:tcW w:w="15388" w:type="dxa"/>
            <w:gridSpan w:val="6"/>
            <w:shd w:val="clear" w:color="auto" w:fill="auto"/>
            <w:vAlign w:val="center"/>
          </w:tcPr>
          <w:p w14:paraId="1899E9D1" w14:textId="77777777" w:rsidR="00252297" w:rsidRPr="00060224" w:rsidRDefault="00252297" w:rsidP="008E25BA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060224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Opis Założeń Projektu Informatycznego  „Digitalizacja i udostępnianie trójwymiarowych zasobów dziedzictwa architektonicznego i archeologicznego oraz budowa Platformy Danych Przestrzennych o Zabytkach”, wnioskodawca Ministerstwo Kultury i Dziedzictwa Narodowego, beneficjent Narodowy Instytut Dziedzictwa</w:t>
            </w:r>
          </w:p>
          <w:p w14:paraId="63ABC78C" w14:textId="77777777" w:rsidR="00252297" w:rsidRPr="00A06425" w:rsidRDefault="00252297" w:rsidP="008E25BA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252297" w:rsidRPr="00A06425" w14:paraId="30C0068F" w14:textId="77777777" w:rsidTr="008E25BA">
        <w:tc>
          <w:tcPr>
            <w:tcW w:w="562" w:type="dxa"/>
            <w:shd w:val="clear" w:color="auto" w:fill="auto"/>
            <w:vAlign w:val="center"/>
          </w:tcPr>
          <w:p w14:paraId="0B434A37" w14:textId="77777777" w:rsidR="00252297" w:rsidRPr="00A06425" w:rsidRDefault="00252297" w:rsidP="008E25B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82E67D" w14:textId="77777777" w:rsidR="00252297" w:rsidRPr="00A06425" w:rsidRDefault="00252297" w:rsidP="008E25B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D12054" w14:textId="77777777" w:rsidR="00252297" w:rsidRPr="00A06425" w:rsidRDefault="00252297" w:rsidP="008E25B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0D204F8" w14:textId="77777777" w:rsidR="00252297" w:rsidRPr="00A06425" w:rsidRDefault="00252297" w:rsidP="008E25B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4155864" w14:textId="77777777" w:rsidR="00252297" w:rsidRPr="00A06425" w:rsidRDefault="00252297" w:rsidP="008E25B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068" w:type="dxa"/>
            <w:vAlign w:val="center"/>
          </w:tcPr>
          <w:p w14:paraId="41ECB3F1" w14:textId="77777777" w:rsidR="00252297" w:rsidRPr="00A06425" w:rsidRDefault="00252297" w:rsidP="008E25B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252297" w:rsidRPr="00A06425" w14:paraId="52187386" w14:textId="77777777" w:rsidTr="008E25BA">
        <w:tc>
          <w:tcPr>
            <w:tcW w:w="562" w:type="dxa"/>
            <w:shd w:val="clear" w:color="auto" w:fill="auto"/>
          </w:tcPr>
          <w:p w14:paraId="51C865E7" w14:textId="77777777" w:rsidR="00252297" w:rsidRPr="00A06425" w:rsidRDefault="00252297" w:rsidP="008E25B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FFA337A" w14:textId="77777777" w:rsidR="00252297" w:rsidRPr="00A06425" w:rsidRDefault="00252297" w:rsidP="008E25B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MF </w:t>
            </w:r>
          </w:p>
        </w:tc>
        <w:tc>
          <w:tcPr>
            <w:tcW w:w="1276" w:type="dxa"/>
            <w:shd w:val="clear" w:color="auto" w:fill="auto"/>
          </w:tcPr>
          <w:p w14:paraId="0C9579A9" w14:textId="77777777" w:rsidR="00252297" w:rsidRPr="00A06425" w:rsidRDefault="00252297" w:rsidP="008E25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Pkt 4.4 </w:t>
            </w:r>
          </w:p>
        </w:tc>
        <w:tc>
          <w:tcPr>
            <w:tcW w:w="5245" w:type="dxa"/>
            <w:shd w:val="clear" w:color="auto" w:fill="auto"/>
          </w:tcPr>
          <w:p w14:paraId="5D68ED8F" w14:textId="77777777" w:rsidR="00252297" w:rsidRPr="009434F8" w:rsidRDefault="00252297" w:rsidP="008E25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34F8">
              <w:rPr>
                <w:rFonts w:asciiTheme="minorHAnsi" w:hAnsiTheme="minorHAnsi" w:cstheme="minorHAnsi"/>
                <w:sz w:val="22"/>
                <w:szCs w:val="22"/>
              </w:rPr>
              <w:t xml:space="preserve">W opisie przedmiotowego projektu informatycznego na str. 1 wskazano całkowity koszt projektu w wysokości 64.998.952,95 zł. Jako źródło finansowania wskazano część budżetu państwa 27 – Informatyzacja, środki UE – Działanie FERC.02.03 Cyfrowa dostępność i ponowne wykorzystanie informacji. </w:t>
            </w:r>
          </w:p>
          <w:p w14:paraId="1D6E6463" w14:textId="77777777" w:rsidR="00252297" w:rsidRPr="009434F8" w:rsidRDefault="00252297" w:rsidP="008E25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34F8">
              <w:rPr>
                <w:rFonts w:asciiTheme="minorHAnsi" w:hAnsiTheme="minorHAnsi" w:cstheme="minorHAnsi"/>
                <w:sz w:val="22"/>
                <w:szCs w:val="22"/>
              </w:rPr>
              <w:t>Należy zaznaczyć, iż wszelkie koszty po stronie budżetu państwa powinny zostać sfinansowane w ramach limitu wydatków poszczególnych części budżetowych i nie powinny stanowić podstawy do ubiegania się o dodatkowe środki z budżetu państwa na ten cel w latach realizacji i utrzymania efektów ww. projektów informatycznych.</w:t>
            </w:r>
          </w:p>
          <w:p w14:paraId="2F0DF0D9" w14:textId="77777777" w:rsidR="00252297" w:rsidRPr="009434F8" w:rsidRDefault="00252297" w:rsidP="008E25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34F8">
              <w:rPr>
                <w:rFonts w:asciiTheme="minorHAnsi" w:hAnsiTheme="minorHAnsi" w:cstheme="minorHAnsi"/>
                <w:sz w:val="22"/>
                <w:szCs w:val="22"/>
              </w:rPr>
              <w:t>Dodatkowo, z uwagi na finansowanie kosztów utrzymania projektów informatycznych – co do zasady -  z krajowych środków publicznych (budżet państwa) należy wskazać podstawę prawną umożliwiającą finansowanie z części 27, której dysponentem jest minister do spraw informatyzacji  kosztów utrzymania ww. projektu dot. Narodowego Instytutu Dziedzictwa.</w:t>
            </w:r>
          </w:p>
          <w:p w14:paraId="44DD883A" w14:textId="77777777" w:rsidR="00252297" w:rsidRPr="009434F8" w:rsidRDefault="00252297" w:rsidP="008E25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14:paraId="01BFF948" w14:textId="77777777" w:rsidR="00252297" w:rsidRPr="009434F8" w:rsidRDefault="00252297" w:rsidP="008E25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34F8">
              <w:rPr>
                <w:rFonts w:asciiTheme="minorHAnsi" w:hAnsiTheme="minorHAnsi" w:cstheme="minorHAnsi"/>
                <w:sz w:val="22"/>
                <w:szCs w:val="22"/>
              </w:rPr>
              <w:t>W związku z powyższym w projekcie pn. „Digitalizacja i udostępnianie trójwymiarowych zasobów dziedzictwa architektonicznego i archeologicznego oraz budowa Platformy Danych Przestrzennych o Zabytkach” należy dokonać korekty w pkt. 4.4 – Planowane koszty ogólne realizacji (w przypadku projektu współfinansowanego – wkład krajowy z budżetu państwa) oraz koszty utrzymania projektu – zaznaczając tiret 1</w:t>
            </w:r>
            <w:r w:rsidRPr="009434F8">
              <w:rPr>
                <w:rFonts w:asciiTheme="minorHAnsi" w:hAnsiTheme="minorHAnsi" w:cstheme="minorHAnsi"/>
              </w:rPr>
              <w:t xml:space="preserve"> W opinii MF </w:t>
            </w:r>
            <w:r w:rsidRPr="009434F8">
              <w:rPr>
                <w:rFonts w:asciiTheme="minorHAnsi" w:hAnsiTheme="minorHAnsi" w:cstheme="minorHAnsi"/>
                <w:sz w:val="22"/>
                <w:szCs w:val="22"/>
              </w:rPr>
              <w:t>należałoby zaznaczyć, że koszty powinny  zostać pokryte w ramach budżetu odpowiedniego dysponenta części budżetowej, bez konieczności występowania o dodatkowe środki z budżetu państwa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068" w:type="dxa"/>
          </w:tcPr>
          <w:p w14:paraId="3CCAFB53" w14:textId="77777777" w:rsidR="00252297" w:rsidRPr="00A06425" w:rsidRDefault="00252297" w:rsidP="008E25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Zmodyfikowano treść OZPI zgodnie z propozycją zmiany zapisu</w:t>
            </w:r>
          </w:p>
        </w:tc>
      </w:tr>
    </w:tbl>
    <w:p w14:paraId="0ECFBAC0" w14:textId="77777777" w:rsidR="00314651" w:rsidRPr="00BC66D1" w:rsidRDefault="00314651" w:rsidP="007E6993">
      <w:pPr>
        <w:rPr>
          <w:rFonts w:asciiTheme="minorHAnsi" w:hAnsiTheme="minorHAnsi" w:cstheme="minorHAnsi"/>
        </w:rPr>
      </w:pPr>
    </w:p>
    <w:sectPr w:rsidR="00314651" w:rsidRPr="00BC66D1" w:rsidSect="00A064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F31518" w14:textId="77777777" w:rsidR="00193572" w:rsidRDefault="00193572" w:rsidP="00E14B70">
      <w:r>
        <w:separator/>
      </w:r>
    </w:p>
  </w:endnote>
  <w:endnote w:type="continuationSeparator" w:id="0">
    <w:p w14:paraId="37124E3D" w14:textId="77777777" w:rsidR="00193572" w:rsidRDefault="00193572" w:rsidP="00E14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82BAB" w14:textId="77777777" w:rsidR="00E92462" w:rsidRDefault="00E9246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398614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5C81F04" w14:textId="62288A47" w:rsidR="00E92462" w:rsidRDefault="00E92462">
            <w:pPr>
              <w:pStyle w:val="Stopka"/>
              <w:jc w:val="right"/>
            </w:pPr>
            <w:r w:rsidRPr="00E9246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E9246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E9246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E9246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E9246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E9246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E9246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E9246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E9246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E9246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E9246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E9246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2C65B6C3" w14:textId="77777777" w:rsidR="00E92462" w:rsidRDefault="00E9246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5486C" w14:textId="77777777" w:rsidR="00E92462" w:rsidRDefault="00E924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F6854" w14:textId="77777777" w:rsidR="00193572" w:rsidRDefault="00193572" w:rsidP="00E14B70">
      <w:r>
        <w:separator/>
      </w:r>
    </w:p>
  </w:footnote>
  <w:footnote w:type="continuationSeparator" w:id="0">
    <w:p w14:paraId="5CE5A224" w14:textId="77777777" w:rsidR="00193572" w:rsidRDefault="00193572" w:rsidP="00E14B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2924B" w14:textId="77777777" w:rsidR="00E92462" w:rsidRDefault="00E924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EF11D" w14:textId="77777777" w:rsidR="00E92462" w:rsidRDefault="00E9246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04D95" w14:textId="77777777" w:rsidR="00E92462" w:rsidRDefault="00E924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969E0"/>
    <w:multiLevelType w:val="hybridMultilevel"/>
    <w:tmpl w:val="04406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D1499"/>
    <w:multiLevelType w:val="hybridMultilevel"/>
    <w:tmpl w:val="B252A6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637940"/>
    <w:multiLevelType w:val="hybridMultilevel"/>
    <w:tmpl w:val="BD70FB4E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2C06A2"/>
    <w:multiLevelType w:val="hybridMultilevel"/>
    <w:tmpl w:val="36A6CFEE"/>
    <w:lvl w:ilvl="0" w:tplc="4D90DA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E76A2C"/>
    <w:multiLevelType w:val="hybridMultilevel"/>
    <w:tmpl w:val="EB5E28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B5E3FF7"/>
    <w:multiLevelType w:val="hybridMultilevel"/>
    <w:tmpl w:val="4BC060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506DBA"/>
    <w:multiLevelType w:val="hybridMultilevel"/>
    <w:tmpl w:val="962C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83D53"/>
    <w:multiLevelType w:val="hybridMultilevel"/>
    <w:tmpl w:val="B48022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6F44AEE"/>
    <w:multiLevelType w:val="hybridMultilevel"/>
    <w:tmpl w:val="A15A6A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7D738FD"/>
    <w:multiLevelType w:val="hybridMultilevel"/>
    <w:tmpl w:val="FDAEBE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2472AE"/>
    <w:multiLevelType w:val="hybridMultilevel"/>
    <w:tmpl w:val="FDAEBE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BB73C0"/>
    <w:multiLevelType w:val="hybridMultilevel"/>
    <w:tmpl w:val="F462D9C6"/>
    <w:lvl w:ilvl="0" w:tplc="0D14FDD0">
      <w:start w:val="1"/>
      <w:numFmt w:val="decimal"/>
      <w:lvlText w:val="%1."/>
      <w:lvlJc w:val="left"/>
      <w:pPr>
        <w:ind w:left="786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6133A6"/>
    <w:multiLevelType w:val="hybridMultilevel"/>
    <w:tmpl w:val="2436B0E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39F42A8"/>
    <w:multiLevelType w:val="hybridMultilevel"/>
    <w:tmpl w:val="F5428D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D82324"/>
    <w:multiLevelType w:val="hybridMultilevel"/>
    <w:tmpl w:val="B6F095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56133C9"/>
    <w:multiLevelType w:val="hybridMultilevel"/>
    <w:tmpl w:val="FDAEBE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B42C1D"/>
    <w:multiLevelType w:val="hybridMultilevel"/>
    <w:tmpl w:val="1D887562"/>
    <w:lvl w:ilvl="0" w:tplc="B3765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376550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7936AD4"/>
    <w:multiLevelType w:val="hybridMultilevel"/>
    <w:tmpl w:val="20501A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ACA52A6"/>
    <w:multiLevelType w:val="hybridMultilevel"/>
    <w:tmpl w:val="21D6595E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BF62756"/>
    <w:multiLevelType w:val="hybridMultilevel"/>
    <w:tmpl w:val="42226D66"/>
    <w:lvl w:ilvl="0" w:tplc="42CE3CD0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524A2D"/>
    <w:multiLevelType w:val="hybridMultilevel"/>
    <w:tmpl w:val="C2EEC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DE1D0E"/>
    <w:multiLevelType w:val="hybridMultilevel"/>
    <w:tmpl w:val="B344A6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995A06"/>
    <w:multiLevelType w:val="hybridMultilevel"/>
    <w:tmpl w:val="D3783600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3" w15:restartNumberingAfterBreak="0">
    <w:nsid w:val="38EF6E6A"/>
    <w:multiLevelType w:val="hybridMultilevel"/>
    <w:tmpl w:val="5D4CB8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B4740FC"/>
    <w:multiLevelType w:val="hybridMultilevel"/>
    <w:tmpl w:val="FDAEBE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54737C"/>
    <w:multiLevelType w:val="hybridMultilevel"/>
    <w:tmpl w:val="FDAEBE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B51274"/>
    <w:multiLevelType w:val="hybridMultilevel"/>
    <w:tmpl w:val="3B163C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701E7B"/>
    <w:multiLevelType w:val="hybridMultilevel"/>
    <w:tmpl w:val="3DB6FBB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7692AB2"/>
    <w:multiLevelType w:val="hybridMultilevel"/>
    <w:tmpl w:val="50786D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BF16EDE"/>
    <w:multiLevelType w:val="hybridMultilevel"/>
    <w:tmpl w:val="F642E9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CD635FD"/>
    <w:multiLevelType w:val="hybridMultilevel"/>
    <w:tmpl w:val="C6F896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D3B7950"/>
    <w:multiLevelType w:val="hybridMultilevel"/>
    <w:tmpl w:val="FF7E2B32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D4C6686"/>
    <w:multiLevelType w:val="hybridMultilevel"/>
    <w:tmpl w:val="E3CA7C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DEC7AD4"/>
    <w:multiLevelType w:val="hybridMultilevel"/>
    <w:tmpl w:val="FDAEBE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350B1D"/>
    <w:multiLevelType w:val="hybridMultilevel"/>
    <w:tmpl w:val="3D9046B4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F45B47"/>
    <w:multiLevelType w:val="hybridMultilevel"/>
    <w:tmpl w:val="C60A2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C50E06"/>
    <w:multiLevelType w:val="multilevel"/>
    <w:tmpl w:val="5BF8AF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6AB90CD0"/>
    <w:multiLevelType w:val="hybridMultilevel"/>
    <w:tmpl w:val="4FC23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AC14331"/>
    <w:multiLevelType w:val="hybridMultilevel"/>
    <w:tmpl w:val="C2548B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B9324BE"/>
    <w:multiLevelType w:val="hybridMultilevel"/>
    <w:tmpl w:val="B08C6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496EF6"/>
    <w:multiLevelType w:val="hybridMultilevel"/>
    <w:tmpl w:val="FDAEBE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907D88"/>
    <w:multiLevelType w:val="hybridMultilevel"/>
    <w:tmpl w:val="6652E2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23B1D99"/>
    <w:multiLevelType w:val="hybridMultilevel"/>
    <w:tmpl w:val="67ACBAB6"/>
    <w:lvl w:ilvl="0" w:tplc="1AA23A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3F431F"/>
    <w:multiLevelType w:val="hybridMultilevel"/>
    <w:tmpl w:val="602292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AEB6C72"/>
    <w:multiLevelType w:val="hybridMultilevel"/>
    <w:tmpl w:val="18B432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F0D74D0"/>
    <w:multiLevelType w:val="hybridMultilevel"/>
    <w:tmpl w:val="9D8C73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91091729">
    <w:abstractNumId w:val="42"/>
  </w:num>
  <w:num w:numId="2" w16cid:durableId="1359621262">
    <w:abstractNumId w:val="18"/>
  </w:num>
  <w:num w:numId="3" w16cid:durableId="1115098081">
    <w:abstractNumId w:val="34"/>
  </w:num>
  <w:num w:numId="4" w16cid:durableId="722022335">
    <w:abstractNumId w:val="16"/>
  </w:num>
  <w:num w:numId="5" w16cid:durableId="2106993953">
    <w:abstractNumId w:val="2"/>
  </w:num>
  <w:num w:numId="6" w16cid:durableId="2074623802">
    <w:abstractNumId w:val="8"/>
  </w:num>
  <w:num w:numId="7" w16cid:durableId="372123727">
    <w:abstractNumId w:val="4"/>
  </w:num>
  <w:num w:numId="8" w16cid:durableId="1175727878">
    <w:abstractNumId w:val="41"/>
  </w:num>
  <w:num w:numId="9" w16cid:durableId="2115784129">
    <w:abstractNumId w:val="27"/>
  </w:num>
  <w:num w:numId="10" w16cid:durableId="1045133945">
    <w:abstractNumId w:val="45"/>
  </w:num>
  <w:num w:numId="11" w16cid:durableId="57630079">
    <w:abstractNumId w:val="7"/>
  </w:num>
  <w:num w:numId="12" w16cid:durableId="757486550">
    <w:abstractNumId w:val="29"/>
  </w:num>
  <w:num w:numId="13" w16cid:durableId="1304895686">
    <w:abstractNumId w:val="36"/>
  </w:num>
  <w:num w:numId="14" w16cid:durableId="177700598">
    <w:abstractNumId w:val="0"/>
  </w:num>
  <w:num w:numId="15" w16cid:durableId="340813153">
    <w:abstractNumId w:val="6"/>
  </w:num>
  <w:num w:numId="16" w16cid:durableId="287276287">
    <w:abstractNumId w:val="43"/>
  </w:num>
  <w:num w:numId="17" w16cid:durableId="201208132">
    <w:abstractNumId w:val="21"/>
  </w:num>
  <w:num w:numId="18" w16cid:durableId="1788963127">
    <w:abstractNumId w:val="23"/>
  </w:num>
  <w:num w:numId="19" w16cid:durableId="619336753">
    <w:abstractNumId w:val="17"/>
  </w:num>
  <w:num w:numId="20" w16cid:durableId="2126073131">
    <w:abstractNumId w:val="14"/>
  </w:num>
  <w:num w:numId="21" w16cid:durableId="233704570">
    <w:abstractNumId w:val="28"/>
  </w:num>
  <w:num w:numId="22" w16cid:durableId="842548271">
    <w:abstractNumId w:val="44"/>
  </w:num>
  <w:num w:numId="23" w16cid:durableId="2130279641">
    <w:abstractNumId w:val="38"/>
  </w:num>
  <w:num w:numId="24" w16cid:durableId="846868755">
    <w:abstractNumId w:val="30"/>
  </w:num>
  <w:num w:numId="25" w16cid:durableId="696008470">
    <w:abstractNumId w:val="1"/>
  </w:num>
  <w:num w:numId="26" w16cid:durableId="547496728">
    <w:abstractNumId w:val="3"/>
  </w:num>
  <w:num w:numId="27" w16cid:durableId="105469903">
    <w:abstractNumId w:val="37"/>
  </w:num>
  <w:num w:numId="28" w16cid:durableId="1430467727">
    <w:abstractNumId w:val="19"/>
  </w:num>
  <w:num w:numId="29" w16cid:durableId="1827471741">
    <w:abstractNumId w:val="26"/>
  </w:num>
  <w:num w:numId="30" w16cid:durableId="61215927">
    <w:abstractNumId w:val="39"/>
  </w:num>
  <w:num w:numId="31" w16cid:durableId="1054738935">
    <w:abstractNumId w:val="31"/>
  </w:num>
  <w:num w:numId="32" w16cid:durableId="882442283">
    <w:abstractNumId w:val="12"/>
  </w:num>
  <w:num w:numId="33" w16cid:durableId="728647898">
    <w:abstractNumId w:val="11"/>
  </w:num>
  <w:num w:numId="34" w16cid:durableId="933128556">
    <w:abstractNumId w:val="32"/>
  </w:num>
  <w:num w:numId="35" w16cid:durableId="1943225826">
    <w:abstractNumId w:val="20"/>
  </w:num>
  <w:num w:numId="36" w16cid:durableId="170534471">
    <w:abstractNumId w:val="13"/>
  </w:num>
  <w:num w:numId="37" w16cid:durableId="2368051">
    <w:abstractNumId w:val="5"/>
  </w:num>
  <w:num w:numId="38" w16cid:durableId="796872373">
    <w:abstractNumId w:val="22"/>
  </w:num>
  <w:num w:numId="39" w16cid:durableId="1270356778">
    <w:abstractNumId w:val="35"/>
  </w:num>
  <w:num w:numId="40" w16cid:durableId="834102368">
    <w:abstractNumId w:val="9"/>
  </w:num>
  <w:num w:numId="41" w16cid:durableId="1234586744">
    <w:abstractNumId w:val="24"/>
  </w:num>
  <w:num w:numId="42" w16cid:durableId="1950547981">
    <w:abstractNumId w:val="33"/>
  </w:num>
  <w:num w:numId="43" w16cid:durableId="1270087816">
    <w:abstractNumId w:val="10"/>
  </w:num>
  <w:num w:numId="44" w16cid:durableId="433979836">
    <w:abstractNumId w:val="25"/>
  </w:num>
  <w:num w:numId="45" w16cid:durableId="309024297">
    <w:abstractNumId w:val="40"/>
  </w:num>
  <w:num w:numId="46" w16cid:durableId="1953785704">
    <w:abstractNumId w:val="15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6354"/>
    <w:rsid w:val="00006F3A"/>
    <w:rsid w:val="00010C2B"/>
    <w:rsid w:val="00016B74"/>
    <w:rsid w:val="00020A6B"/>
    <w:rsid w:val="00025A11"/>
    <w:rsid w:val="00025A31"/>
    <w:rsid w:val="00034258"/>
    <w:rsid w:val="0003573B"/>
    <w:rsid w:val="00040A64"/>
    <w:rsid w:val="00042A00"/>
    <w:rsid w:val="000459F6"/>
    <w:rsid w:val="00047F2A"/>
    <w:rsid w:val="0005142B"/>
    <w:rsid w:val="0005522D"/>
    <w:rsid w:val="00060B4C"/>
    <w:rsid w:val="00063A29"/>
    <w:rsid w:val="00064D6E"/>
    <w:rsid w:val="00081D53"/>
    <w:rsid w:val="00090609"/>
    <w:rsid w:val="00090F85"/>
    <w:rsid w:val="00094188"/>
    <w:rsid w:val="000A3B2E"/>
    <w:rsid w:val="000A5F5A"/>
    <w:rsid w:val="000B4EAA"/>
    <w:rsid w:val="000B555A"/>
    <w:rsid w:val="000B7917"/>
    <w:rsid w:val="000C43C5"/>
    <w:rsid w:val="000D434B"/>
    <w:rsid w:val="000D7673"/>
    <w:rsid w:val="000E3B1D"/>
    <w:rsid w:val="000E5CE3"/>
    <w:rsid w:val="000E6B10"/>
    <w:rsid w:val="000E7154"/>
    <w:rsid w:val="000F7609"/>
    <w:rsid w:val="00105A60"/>
    <w:rsid w:val="001061CD"/>
    <w:rsid w:val="0010733A"/>
    <w:rsid w:val="0010735B"/>
    <w:rsid w:val="00107748"/>
    <w:rsid w:val="001108D3"/>
    <w:rsid w:val="0011369C"/>
    <w:rsid w:val="00121575"/>
    <w:rsid w:val="001244A7"/>
    <w:rsid w:val="00131431"/>
    <w:rsid w:val="00136FC7"/>
    <w:rsid w:val="00140BE8"/>
    <w:rsid w:val="00146FD0"/>
    <w:rsid w:val="00147CBD"/>
    <w:rsid w:val="00151DD5"/>
    <w:rsid w:val="00152082"/>
    <w:rsid w:val="00153609"/>
    <w:rsid w:val="001562AA"/>
    <w:rsid w:val="00157F48"/>
    <w:rsid w:val="001605B3"/>
    <w:rsid w:val="00163643"/>
    <w:rsid w:val="00164048"/>
    <w:rsid w:val="001646B8"/>
    <w:rsid w:val="0017551B"/>
    <w:rsid w:val="00177430"/>
    <w:rsid w:val="0018320C"/>
    <w:rsid w:val="0018344E"/>
    <w:rsid w:val="00186CED"/>
    <w:rsid w:val="00187629"/>
    <w:rsid w:val="00193572"/>
    <w:rsid w:val="00194ED6"/>
    <w:rsid w:val="001962F5"/>
    <w:rsid w:val="0019648E"/>
    <w:rsid w:val="00197F4C"/>
    <w:rsid w:val="001A1494"/>
    <w:rsid w:val="001A63BC"/>
    <w:rsid w:val="001A6747"/>
    <w:rsid w:val="001A770F"/>
    <w:rsid w:val="001B3977"/>
    <w:rsid w:val="001C5CBE"/>
    <w:rsid w:val="001D0084"/>
    <w:rsid w:val="001D05FA"/>
    <w:rsid w:val="001D29DE"/>
    <w:rsid w:val="001D585E"/>
    <w:rsid w:val="001D7040"/>
    <w:rsid w:val="001E6256"/>
    <w:rsid w:val="001E7F37"/>
    <w:rsid w:val="001F64D0"/>
    <w:rsid w:val="001F6D0F"/>
    <w:rsid w:val="002059F0"/>
    <w:rsid w:val="00216108"/>
    <w:rsid w:val="002164E8"/>
    <w:rsid w:val="002232CD"/>
    <w:rsid w:val="002268CF"/>
    <w:rsid w:val="00227D73"/>
    <w:rsid w:val="0023082D"/>
    <w:rsid w:val="002308C6"/>
    <w:rsid w:val="0023274A"/>
    <w:rsid w:val="00236073"/>
    <w:rsid w:val="00237CDF"/>
    <w:rsid w:val="00244E90"/>
    <w:rsid w:val="00246954"/>
    <w:rsid w:val="002519B9"/>
    <w:rsid w:val="00252297"/>
    <w:rsid w:val="00255F28"/>
    <w:rsid w:val="0026399A"/>
    <w:rsid w:val="00270D69"/>
    <w:rsid w:val="002710FE"/>
    <w:rsid w:val="002715B2"/>
    <w:rsid w:val="002749C3"/>
    <w:rsid w:val="00277671"/>
    <w:rsid w:val="00280434"/>
    <w:rsid w:val="002833DE"/>
    <w:rsid w:val="0028461C"/>
    <w:rsid w:val="00287C7E"/>
    <w:rsid w:val="002B0131"/>
    <w:rsid w:val="002B3D6D"/>
    <w:rsid w:val="002B579A"/>
    <w:rsid w:val="002C2933"/>
    <w:rsid w:val="002C3000"/>
    <w:rsid w:val="002C473B"/>
    <w:rsid w:val="002D07CA"/>
    <w:rsid w:val="002D2381"/>
    <w:rsid w:val="002D5B7B"/>
    <w:rsid w:val="002E157F"/>
    <w:rsid w:val="002E1A2D"/>
    <w:rsid w:val="002E44E1"/>
    <w:rsid w:val="002F0CE2"/>
    <w:rsid w:val="002F120A"/>
    <w:rsid w:val="002F29F8"/>
    <w:rsid w:val="002F6503"/>
    <w:rsid w:val="00307603"/>
    <w:rsid w:val="003124D1"/>
    <w:rsid w:val="00314651"/>
    <w:rsid w:val="003237B2"/>
    <w:rsid w:val="00332DF4"/>
    <w:rsid w:val="00334D19"/>
    <w:rsid w:val="00341BA7"/>
    <w:rsid w:val="00341FFE"/>
    <w:rsid w:val="00344A55"/>
    <w:rsid w:val="003514C1"/>
    <w:rsid w:val="003534F1"/>
    <w:rsid w:val="0035620F"/>
    <w:rsid w:val="00356F23"/>
    <w:rsid w:val="003665A7"/>
    <w:rsid w:val="0037056C"/>
    <w:rsid w:val="0037235F"/>
    <w:rsid w:val="003730AD"/>
    <w:rsid w:val="00374B75"/>
    <w:rsid w:val="00382B93"/>
    <w:rsid w:val="00396026"/>
    <w:rsid w:val="00396877"/>
    <w:rsid w:val="003A565A"/>
    <w:rsid w:val="003B15E0"/>
    <w:rsid w:val="003B4105"/>
    <w:rsid w:val="003B7C1C"/>
    <w:rsid w:val="003C2177"/>
    <w:rsid w:val="003C69BE"/>
    <w:rsid w:val="003D4CCA"/>
    <w:rsid w:val="003E0F99"/>
    <w:rsid w:val="003E2377"/>
    <w:rsid w:val="003E3EAF"/>
    <w:rsid w:val="003E618F"/>
    <w:rsid w:val="003E644D"/>
    <w:rsid w:val="003F1468"/>
    <w:rsid w:val="003F3F07"/>
    <w:rsid w:val="00400908"/>
    <w:rsid w:val="004055CB"/>
    <w:rsid w:val="0041284A"/>
    <w:rsid w:val="00417BB4"/>
    <w:rsid w:val="00417C78"/>
    <w:rsid w:val="00422DA2"/>
    <w:rsid w:val="00425126"/>
    <w:rsid w:val="0043100A"/>
    <w:rsid w:val="0043240C"/>
    <w:rsid w:val="00432DCA"/>
    <w:rsid w:val="00433B29"/>
    <w:rsid w:val="004434D7"/>
    <w:rsid w:val="004436D8"/>
    <w:rsid w:val="00443861"/>
    <w:rsid w:val="00444008"/>
    <w:rsid w:val="00444482"/>
    <w:rsid w:val="004618D6"/>
    <w:rsid w:val="00463A58"/>
    <w:rsid w:val="004645D1"/>
    <w:rsid w:val="004724B4"/>
    <w:rsid w:val="00473EC2"/>
    <w:rsid w:val="00477E3C"/>
    <w:rsid w:val="00484095"/>
    <w:rsid w:val="00485E1F"/>
    <w:rsid w:val="0048762E"/>
    <w:rsid w:val="00490326"/>
    <w:rsid w:val="004964CF"/>
    <w:rsid w:val="004A022E"/>
    <w:rsid w:val="004A3A9F"/>
    <w:rsid w:val="004A7512"/>
    <w:rsid w:val="004B1029"/>
    <w:rsid w:val="004B5029"/>
    <w:rsid w:val="004B72C2"/>
    <w:rsid w:val="004C73ED"/>
    <w:rsid w:val="004D071B"/>
    <w:rsid w:val="004D086F"/>
    <w:rsid w:val="004D255C"/>
    <w:rsid w:val="004D7AC2"/>
    <w:rsid w:val="004D7E56"/>
    <w:rsid w:val="004E1A2B"/>
    <w:rsid w:val="004E2646"/>
    <w:rsid w:val="0050010D"/>
    <w:rsid w:val="00502279"/>
    <w:rsid w:val="00505A54"/>
    <w:rsid w:val="0050639B"/>
    <w:rsid w:val="00513850"/>
    <w:rsid w:val="00515E73"/>
    <w:rsid w:val="005243B8"/>
    <w:rsid w:val="005277FD"/>
    <w:rsid w:val="00531318"/>
    <w:rsid w:val="00532E98"/>
    <w:rsid w:val="00534954"/>
    <w:rsid w:val="00536404"/>
    <w:rsid w:val="00545960"/>
    <w:rsid w:val="00546ED2"/>
    <w:rsid w:val="00547207"/>
    <w:rsid w:val="00547427"/>
    <w:rsid w:val="00547F55"/>
    <w:rsid w:val="00551DA1"/>
    <w:rsid w:val="0055389A"/>
    <w:rsid w:val="00553952"/>
    <w:rsid w:val="00554427"/>
    <w:rsid w:val="005561B8"/>
    <w:rsid w:val="00557931"/>
    <w:rsid w:val="00561347"/>
    <w:rsid w:val="0056174D"/>
    <w:rsid w:val="0056553A"/>
    <w:rsid w:val="00567A04"/>
    <w:rsid w:val="00583101"/>
    <w:rsid w:val="00590C67"/>
    <w:rsid w:val="00593863"/>
    <w:rsid w:val="00597081"/>
    <w:rsid w:val="005A0324"/>
    <w:rsid w:val="005A4BC1"/>
    <w:rsid w:val="005A7602"/>
    <w:rsid w:val="005B3CCE"/>
    <w:rsid w:val="005B41C8"/>
    <w:rsid w:val="005C309A"/>
    <w:rsid w:val="005C4714"/>
    <w:rsid w:val="005D3FEF"/>
    <w:rsid w:val="005E3394"/>
    <w:rsid w:val="005E5935"/>
    <w:rsid w:val="005F2E88"/>
    <w:rsid w:val="005F6527"/>
    <w:rsid w:val="005F6DE2"/>
    <w:rsid w:val="005F7FE3"/>
    <w:rsid w:val="006006F5"/>
    <w:rsid w:val="006046B4"/>
    <w:rsid w:val="00605CA0"/>
    <w:rsid w:val="00606FB5"/>
    <w:rsid w:val="00611847"/>
    <w:rsid w:val="00614836"/>
    <w:rsid w:val="00620C9C"/>
    <w:rsid w:val="00631BAD"/>
    <w:rsid w:val="00635544"/>
    <w:rsid w:val="006400A2"/>
    <w:rsid w:val="00642509"/>
    <w:rsid w:val="006439EB"/>
    <w:rsid w:val="00653B56"/>
    <w:rsid w:val="0065626A"/>
    <w:rsid w:val="00656C23"/>
    <w:rsid w:val="00663433"/>
    <w:rsid w:val="006654E2"/>
    <w:rsid w:val="00667303"/>
    <w:rsid w:val="00667F83"/>
    <w:rsid w:val="006705EC"/>
    <w:rsid w:val="00676534"/>
    <w:rsid w:val="006811DF"/>
    <w:rsid w:val="006846B8"/>
    <w:rsid w:val="00686AC2"/>
    <w:rsid w:val="00686DE9"/>
    <w:rsid w:val="006939B3"/>
    <w:rsid w:val="006A545F"/>
    <w:rsid w:val="006A5EB3"/>
    <w:rsid w:val="006B0591"/>
    <w:rsid w:val="006B1BD1"/>
    <w:rsid w:val="006B3C71"/>
    <w:rsid w:val="006C161C"/>
    <w:rsid w:val="006C1B98"/>
    <w:rsid w:val="006C200F"/>
    <w:rsid w:val="006C28F8"/>
    <w:rsid w:val="006C34E6"/>
    <w:rsid w:val="006C4C94"/>
    <w:rsid w:val="006E16E9"/>
    <w:rsid w:val="006F2DBD"/>
    <w:rsid w:val="00705F3F"/>
    <w:rsid w:val="007171B6"/>
    <w:rsid w:val="0072078F"/>
    <w:rsid w:val="00721360"/>
    <w:rsid w:val="0072682E"/>
    <w:rsid w:val="0073225D"/>
    <w:rsid w:val="007345EE"/>
    <w:rsid w:val="00735CFB"/>
    <w:rsid w:val="007427EF"/>
    <w:rsid w:val="00746192"/>
    <w:rsid w:val="00746354"/>
    <w:rsid w:val="0074643B"/>
    <w:rsid w:val="00760312"/>
    <w:rsid w:val="00762D33"/>
    <w:rsid w:val="007652C4"/>
    <w:rsid w:val="007704F6"/>
    <w:rsid w:val="007710B3"/>
    <w:rsid w:val="00772C14"/>
    <w:rsid w:val="007841AD"/>
    <w:rsid w:val="00791054"/>
    <w:rsid w:val="0079748E"/>
    <w:rsid w:val="007A5745"/>
    <w:rsid w:val="007A5B8B"/>
    <w:rsid w:val="007A5F46"/>
    <w:rsid w:val="007B074F"/>
    <w:rsid w:val="007D2161"/>
    <w:rsid w:val="007E5E9D"/>
    <w:rsid w:val="007E6993"/>
    <w:rsid w:val="007F0B79"/>
    <w:rsid w:val="007F1E75"/>
    <w:rsid w:val="007F3349"/>
    <w:rsid w:val="0080077C"/>
    <w:rsid w:val="00806200"/>
    <w:rsid w:val="00807385"/>
    <w:rsid w:val="00811467"/>
    <w:rsid w:val="00814256"/>
    <w:rsid w:val="008152C3"/>
    <w:rsid w:val="00821989"/>
    <w:rsid w:val="00825E1F"/>
    <w:rsid w:val="00830DE7"/>
    <w:rsid w:val="00831D9F"/>
    <w:rsid w:val="00840050"/>
    <w:rsid w:val="00844C69"/>
    <w:rsid w:val="00855812"/>
    <w:rsid w:val="008625B7"/>
    <w:rsid w:val="0086305C"/>
    <w:rsid w:val="008643AA"/>
    <w:rsid w:val="00866F57"/>
    <w:rsid w:val="00871D6D"/>
    <w:rsid w:val="008751A1"/>
    <w:rsid w:val="00881FE1"/>
    <w:rsid w:val="00883D71"/>
    <w:rsid w:val="008841D9"/>
    <w:rsid w:val="0088704C"/>
    <w:rsid w:val="0088710B"/>
    <w:rsid w:val="00896E1C"/>
    <w:rsid w:val="00897CAC"/>
    <w:rsid w:val="008A044B"/>
    <w:rsid w:val="008A6460"/>
    <w:rsid w:val="008B0FD5"/>
    <w:rsid w:val="008B22A0"/>
    <w:rsid w:val="008B2A84"/>
    <w:rsid w:val="008B71C8"/>
    <w:rsid w:val="008C1570"/>
    <w:rsid w:val="008C3EED"/>
    <w:rsid w:val="008C3F03"/>
    <w:rsid w:val="008C492B"/>
    <w:rsid w:val="008D2508"/>
    <w:rsid w:val="008D327C"/>
    <w:rsid w:val="008D64A2"/>
    <w:rsid w:val="008D7674"/>
    <w:rsid w:val="008D76A5"/>
    <w:rsid w:val="008E2E7C"/>
    <w:rsid w:val="008F0DBB"/>
    <w:rsid w:val="008F3523"/>
    <w:rsid w:val="008F3CBC"/>
    <w:rsid w:val="00902130"/>
    <w:rsid w:val="0090270C"/>
    <w:rsid w:val="00903893"/>
    <w:rsid w:val="00913AE2"/>
    <w:rsid w:val="00921388"/>
    <w:rsid w:val="0093461F"/>
    <w:rsid w:val="009403B1"/>
    <w:rsid w:val="00944932"/>
    <w:rsid w:val="0095349E"/>
    <w:rsid w:val="0095560B"/>
    <w:rsid w:val="00957702"/>
    <w:rsid w:val="00960ED9"/>
    <w:rsid w:val="009628F4"/>
    <w:rsid w:val="00962F67"/>
    <w:rsid w:val="00964410"/>
    <w:rsid w:val="00975536"/>
    <w:rsid w:val="009803B7"/>
    <w:rsid w:val="009832DB"/>
    <w:rsid w:val="0099249D"/>
    <w:rsid w:val="00996D0D"/>
    <w:rsid w:val="009A33DB"/>
    <w:rsid w:val="009A7F78"/>
    <w:rsid w:val="009B51CD"/>
    <w:rsid w:val="009B5DF9"/>
    <w:rsid w:val="009B603E"/>
    <w:rsid w:val="009C66E8"/>
    <w:rsid w:val="009E0556"/>
    <w:rsid w:val="009E57BE"/>
    <w:rsid w:val="009E5FDB"/>
    <w:rsid w:val="009F3290"/>
    <w:rsid w:val="009F3871"/>
    <w:rsid w:val="009F4413"/>
    <w:rsid w:val="009F509B"/>
    <w:rsid w:val="009F50D6"/>
    <w:rsid w:val="00A005A3"/>
    <w:rsid w:val="00A06425"/>
    <w:rsid w:val="00A20956"/>
    <w:rsid w:val="00A224D4"/>
    <w:rsid w:val="00A320E9"/>
    <w:rsid w:val="00A342E1"/>
    <w:rsid w:val="00A353FD"/>
    <w:rsid w:val="00A37F32"/>
    <w:rsid w:val="00A5262A"/>
    <w:rsid w:val="00A52D28"/>
    <w:rsid w:val="00A54EBC"/>
    <w:rsid w:val="00A67D95"/>
    <w:rsid w:val="00A80011"/>
    <w:rsid w:val="00A83087"/>
    <w:rsid w:val="00A834C7"/>
    <w:rsid w:val="00A8679C"/>
    <w:rsid w:val="00A95044"/>
    <w:rsid w:val="00A9696D"/>
    <w:rsid w:val="00AA46FC"/>
    <w:rsid w:val="00AA4872"/>
    <w:rsid w:val="00AA5A21"/>
    <w:rsid w:val="00AB176E"/>
    <w:rsid w:val="00AB1D78"/>
    <w:rsid w:val="00AB306D"/>
    <w:rsid w:val="00AB41E2"/>
    <w:rsid w:val="00AB48F8"/>
    <w:rsid w:val="00AC0250"/>
    <w:rsid w:val="00AC2705"/>
    <w:rsid w:val="00AC2D24"/>
    <w:rsid w:val="00AC4571"/>
    <w:rsid w:val="00AC5DE8"/>
    <w:rsid w:val="00AC7796"/>
    <w:rsid w:val="00AD0875"/>
    <w:rsid w:val="00AD17EA"/>
    <w:rsid w:val="00AD60EA"/>
    <w:rsid w:val="00AE0674"/>
    <w:rsid w:val="00AE547B"/>
    <w:rsid w:val="00AE7E70"/>
    <w:rsid w:val="00AF4B21"/>
    <w:rsid w:val="00AF5B89"/>
    <w:rsid w:val="00AF5F52"/>
    <w:rsid w:val="00AF74FE"/>
    <w:rsid w:val="00B00EAD"/>
    <w:rsid w:val="00B02530"/>
    <w:rsid w:val="00B02FF0"/>
    <w:rsid w:val="00B04389"/>
    <w:rsid w:val="00B139F6"/>
    <w:rsid w:val="00B20CE0"/>
    <w:rsid w:val="00B46811"/>
    <w:rsid w:val="00B50894"/>
    <w:rsid w:val="00B5436B"/>
    <w:rsid w:val="00B61ED8"/>
    <w:rsid w:val="00B7094C"/>
    <w:rsid w:val="00B73C7B"/>
    <w:rsid w:val="00B871B6"/>
    <w:rsid w:val="00B87417"/>
    <w:rsid w:val="00B87807"/>
    <w:rsid w:val="00B91A00"/>
    <w:rsid w:val="00B947D4"/>
    <w:rsid w:val="00B95091"/>
    <w:rsid w:val="00B97AF4"/>
    <w:rsid w:val="00BA4439"/>
    <w:rsid w:val="00BA4A99"/>
    <w:rsid w:val="00BB44FA"/>
    <w:rsid w:val="00BB6946"/>
    <w:rsid w:val="00BC52D3"/>
    <w:rsid w:val="00BC66D1"/>
    <w:rsid w:val="00BC6C5C"/>
    <w:rsid w:val="00BC7E22"/>
    <w:rsid w:val="00BD1864"/>
    <w:rsid w:val="00BD574D"/>
    <w:rsid w:val="00BE0FD3"/>
    <w:rsid w:val="00BE1456"/>
    <w:rsid w:val="00BE24D0"/>
    <w:rsid w:val="00BE4F3B"/>
    <w:rsid w:val="00BF1B60"/>
    <w:rsid w:val="00BF324F"/>
    <w:rsid w:val="00BF3B2B"/>
    <w:rsid w:val="00C0682D"/>
    <w:rsid w:val="00C163C4"/>
    <w:rsid w:val="00C25155"/>
    <w:rsid w:val="00C30108"/>
    <w:rsid w:val="00C31234"/>
    <w:rsid w:val="00C3123C"/>
    <w:rsid w:val="00C3252B"/>
    <w:rsid w:val="00C34F98"/>
    <w:rsid w:val="00C50772"/>
    <w:rsid w:val="00C511DC"/>
    <w:rsid w:val="00C5288D"/>
    <w:rsid w:val="00C6099A"/>
    <w:rsid w:val="00C64B1B"/>
    <w:rsid w:val="00C65E73"/>
    <w:rsid w:val="00C717B1"/>
    <w:rsid w:val="00C7669C"/>
    <w:rsid w:val="00C80665"/>
    <w:rsid w:val="00C94536"/>
    <w:rsid w:val="00CA1DBC"/>
    <w:rsid w:val="00CA1E34"/>
    <w:rsid w:val="00CB0B09"/>
    <w:rsid w:val="00CC11FC"/>
    <w:rsid w:val="00CC2618"/>
    <w:rsid w:val="00CC4938"/>
    <w:rsid w:val="00CC7B91"/>
    <w:rsid w:val="00CD0FBE"/>
    <w:rsid w:val="00CD5EB0"/>
    <w:rsid w:val="00CD6F9D"/>
    <w:rsid w:val="00CD7DB4"/>
    <w:rsid w:val="00CE0C55"/>
    <w:rsid w:val="00CE4A0B"/>
    <w:rsid w:val="00CE4B46"/>
    <w:rsid w:val="00CE5E8E"/>
    <w:rsid w:val="00CE73ED"/>
    <w:rsid w:val="00CF6221"/>
    <w:rsid w:val="00D001A0"/>
    <w:rsid w:val="00D02500"/>
    <w:rsid w:val="00D05F08"/>
    <w:rsid w:val="00D1021C"/>
    <w:rsid w:val="00D12A60"/>
    <w:rsid w:val="00D16BAA"/>
    <w:rsid w:val="00D17B08"/>
    <w:rsid w:val="00D2607A"/>
    <w:rsid w:val="00D30FE4"/>
    <w:rsid w:val="00D31A08"/>
    <w:rsid w:val="00D350CF"/>
    <w:rsid w:val="00D44030"/>
    <w:rsid w:val="00D4631D"/>
    <w:rsid w:val="00D477C3"/>
    <w:rsid w:val="00D5246C"/>
    <w:rsid w:val="00D52C06"/>
    <w:rsid w:val="00D54E9F"/>
    <w:rsid w:val="00D60117"/>
    <w:rsid w:val="00D63E90"/>
    <w:rsid w:val="00D667A6"/>
    <w:rsid w:val="00D736D9"/>
    <w:rsid w:val="00D841CC"/>
    <w:rsid w:val="00D964D5"/>
    <w:rsid w:val="00DA7E7F"/>
    <w:rsid w:val="00DB4478"/>
    <w:rsid w:val="00DB6D44"/>
    <w:rsid w:val="00DC13EC"/>
    <w:rsid w:val="00DC23EE"/>
    <w:rsid w:val="00DC7A07"/>
    <w:rsid w:val="00DD1EDC"/>
    <w:rsid w:val="00DD3E79"/>
    <w:rsid w:val="00DD49A6"/>
    <w:rsid w:val="00DD55DC"/>
    <w:rsid w:val="00DD5603"/>
    <w:rsid w:val="00DE3397"/>
    <w:rsid w:val="00DE4DC0"/>
    <w:rsid w:val="00DE6B3D"/>
    <w:rsid w:val="00DF095E"/>
    <w:rsid w:val="00DF0FBE"/>
    <w:rsid w:val="00DF4778"/>
    <w:rsid w:val="00E00B34"/>
    <w:rsid w:val="00E015C9"/>
    <w:rsid w:val="00E05B9D"/>
    <w:rsid w:val="00E1004B"/>
    <w:rsid w:val="00E12384"/>
    <w:rsid w:val="00E12F3D"/>
    <w:rsid w:val="00E13437"/>
    <w:rsid w:val="00E14B70"/>
    <w:rsid w:val="00E14C33"/>
    <w:rsid w:val="00E2003D"/>
    <w:rsid w:val="00E22B3C"/>
    <w:rsid w:val="00E2355D"/>
    <w:rsid w:val="00E26110"/>
    <w:rsid w:val="00E305CE"/>
    <w:rsid w:val="00E4295F"/>
    <w:rsid w:val="00E43ABD"/>
    <w:rsid w:val="00E44B39"/>
    <w:rsid w:val="00E45AA5"/>
    <w:rsid w:val="00E47544"/>
    <w:rsid w:val="00E61E89"/>
    <w:rsid w:val="00E714FA"/>
    <w:rsid w:val="00E751CA"/>
    <w:rsid w:val="00E77749"/>
    <w:rsid w:val="00E82FE2"/>
    <w:rsid w:val="00E91648"/>
    <w:rsid w:val="00E92462"/>
    <w:rsid w:val="00EA15CD"/>
    <w:rsid w:val="00EA2A5A"/>
    <w:rsid w:val="00EA4647"/>
    <w:rsid w:val="00EB2C14"/>
    <w:rsid w:val="00EB3EC4"/>
    <w:rsid w:val="00EB5560"/>
    <w:rsid w:val="00EC591F"/>
    <w:rsid w:val="00ED03A4"/>
    <w:rsid w:val="00ED163E"/>
    <w:rsid w:val="00ED39C3"/>
    <w:rsid w:val="00ED6E6A"/>
    <w:rsid w:val="00ED754F"/>
    <w:rsid w:val="00EF2558"/>
    <w:rsid w:val="00F014F7"/>
    <w:rsid w:val="00F13178"/>
    <w:rsid w:val="00F151B4"/>
    <w:rsid w:val="00F161E2"/>
    <w:rsid w:val="00F22165"/>
    <w:rsid w:val="00F2346C"/>
    <w:rsid w:val="00F26B95"/>
    <w:rsid w:val="00F27D7C"/>
    <w:rsid w:val="00F359F2"/>
    <w:rsid w:val="00F35F8C"/>
    <w:rsid w:val="00F36998"/>
    <w:rsid w:val="00F3727A"/>
    <w:rsid w:val="00F42405"/>
    <w:rsid w:val="00F44470"/>
    <w:rsid w:val="00F46FA9"/>
    <w:rsid w:val="00F47BE6"/>
    <w:rsid w:val="00F55DCE"/>
    <w:rsid w:val="00F57A13"/>
    <w:rsid w:val="00F75F33"/>
    <w:rsid w:val="00F778BE"/>
    <w:rsid w:val="00F77BFE"/>
    <w:rsid w:val="00F80832"/>
    <w:rsid w:val="00F9043E"/>
    <w:rsid w:val="00F951ED"/>
    <w:rsid w:val="00F976B6"/>
    <w:rsid w:val="00FA3EA4"/>
    <w:rsid w:val="00FA658C"/>
    <w:rsid w:val="00FA7B7E"/>
    <w:rsid w:val="00FB01F7"/>
    <w:rsid w:val="00FB179C"/>
    <w:rsid w:val="00FB22E5"/>
    <w:rsid w:val="00FC533E"/>
    <w:rsid w:val="00FC5DA9"/>
    <w:rsid w:val="00FE134D"/>
    <w:rsid w:val="00FE553C"/>
    <w:rsid w:val="00FF5292"/>
    <w:rsid w:val="00FF6465"/>
    <w:rsid w:val="00FF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5B05B4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52297"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Akapit z listą BS,Kolorowa lista — akcent 11,L1,Akapit z listą5,Akapit normalny,Podsis rysunku,Lista XXX,List Paragraph,Normalny PDST,lp1,Preambuła,HŁ_Bullet1,List Paragraph_0,opis dzialania,K-P_odwolanie,Akapit z listą mon"/>
    <w:basedOn w:val="Normalny"/>
    <w:link w:val="AkapitzlistZnak"/>
    <w:uiPriority w:val="34"/>
    <w:qFormat/>
    <w:rsid w:val="00F151B4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Kolorowa lista — akcent 11 Znak,L1 Znak,Akapit z listą5 Znak,Akapit normalny Znak,Podsis rysunku Znak,Lista XXX Znak,List Paragraph Znak,Normalny PDST Znak,lp1 Znak,Preambuła Znak"/>
    <w:basedOn w:val="Domylnaczcionkaakapitu"/>
    <w:link w:val="Akapitzlist"/>
    <w:uiPriority w:val="34"/>
    <w:qFormat/>
    <w:locked/>
    <w:rsid w:val="00F151B4"/>
    <w:rPr>
      <w:sz w:val="24"/>
      <w:szCs w:val="24"/>
    </w:rPr>
  </w:style>
  <w:style w:type="character" w:styleId="Hipercze">
    <w:name w:val="Hyperlink"/>
    <w:basedOn w:val="Domylnaczcionkaakapitu"/>
    <w:rsid w:val="000D767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D767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rsid w:val="00244E9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44E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44E90"/>
  </w:style>
  <w:style w:type="paragraph" w:styleId="Tematkomentarza">
    <w:name w:val="annotation subject"/>
    <w:basedOn w:val="Tekstkomentarza"/>
    <w:next w:val="Tekstkomentarza"/>
    <w:link w:val="TematkomentarzaZnak"/>
    <w:rsid w:val="00244E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44E90"/>
    <w:rPr>
      <w:b/>
      <w:bCs/>
    </w:rPr>
  </w:style>
  <w:style w:type="paragraph" w:styleId="Tekstprzypisukocowego">
    <w:name w:val="endnote text"/>
    <w:basedOn w:val="Normalny"/>
    <w:link w:val="TekstprzypisukocowegoZnak"/>
    <w:rsid w:val="00E14B7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14B70"/>
  </w:style>
  <w:style w:type="character" w:styleId="Odwoanieprzypisukocowego">
    <w:name w:val="endnote reference"/>
    <w:basedOn w:val="Domylnaczcionkaakapitu"/>
    <w:rsid w:val="00E14B70"/>
    <w:rPr>
      <w:vertAlign w:val="superscript"/>
    </w:rPr>
  </w:style>
  <w:style w:type="paragraph" w:customStyle="1" w:styleId="pf0">
    <w:name w:val="pf0"/>
    <w:basedOn w:val="Normalny"/>
    <w:rsid w:val="00B87417"/>
    <w:pPr>
      <w:spacing w:before="100" w:beforeAutospacing="1" w:after="100" w:afterAutospacing="1"/>
    </w:pPr>
  </w:style>
  <w:style w:type="character" w:customStyle="1" w:styleId="cf21">
    <w:name w:val="cf21"/>
    <w:basedOn w:val="Domylnaczcionkaakapitu"/>
    <w:rsid w:val="00B87417"/>
    <w:rPr>
      <w:rFonts w:ascii="Segoe UI" w:hAnsi="Segoe UI" w:cs="Segoe UI" w:hint="default"/>
      <w:sz w:val="18"/>
      <w:szCs w:val="18"/>
    </w:rPr>
  </w:style>
  <w:style w:type="character" w:customStyle="1" w:styleId="cf31">
    <w:name w:val="cf31"/>
    <w:basedOn w:val="Domylnaczcionkaakapitu"/>
    <w:rsid w:val="00B87417"/>
    <w:rPr>
      <w:rFonts w:ascii="Segoe UI" w:hAnsi="Segoe UI" w:cs="Segoe UI" w:hint="default"/>
      <w:i/>
      <w:iCs/>
      <w:sz w:val="18"/>
      <w:szCs w:val="18"/>
    </w:rPr>
  </w:style>
  <w:style w:type="paragraph" w:styleId="Poprawka">
    <w:name w:val="Revision"/>
    <w:hidden/>
    <w:uiPriority w:val="99"/>
    <w:semiHidden/>
    <w:rsid w:val="002D07CA"/>
    <w:rPr>
      <w:sz w:val="24"/>
      <w:szCs w:val="24"/>
    </w:rPr>
  </w:style>
  <w:style w:type="paragraph" w:styleId="Nagwek">
    <w:name w:val="header"/>
    <w:basedOn w:val="Normalny"/>
    <w:link w:val="NagwekZnak"/>
    <w:rsid w:val="00E924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9246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924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2462"/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E015C9"/>
    <w:pPr>
      <w:spacing w:after="120"/>
      <w:ind w:left="900"/>
    </w:pPr>
    <w:rPr>
      <w:rFonts w:ascii="Arial" w:hAnsi="Arial"/>
      <w:lang w:val="en-US"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E015C9"/>
    <w:rPr>
      <w:rFonts w:ascii="Arial" w:hAnsi="Arial"/>
      <w:sz w:val="24"/>
      <w:szCs w:val="24"/>
      <w:lang w:val="en-US" w:eastAsia="en-US"/>
    </w:rPr>
  </w:style>
  <w:style w:type="paragraph" w:styleId="Legenda">
    <w:name w:val="caption"/>
    <w:basedOn w:val="Normalny"/>
    <w:next w:val="Normalny"/>
    <w:qFormat/>
    <w:rsid w:val="00FF6AFB"/>
    <w:pPr>
      <w:widowControl w:val="0"/>
      <w:suppressAutoHyphens/>
    </w:pPr>
    <w:rPr>
      <w:rFonts w:eastAsia="Arial Unicode MS"/>
      <w:b/>
      <w:bCs/>
      <w:kern w:val="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6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9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4688D-22E1-4D51-AA4D-867FEE8A2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14</Pages>
  <Words>4391</Words>
  <Characters>26346</Characters>
  <Application>Microsoft Office Word</Application>
  <DocSecurity>0</DocSecurity>
  <Lines>219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30676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Piotr Skajewski</cp:lastModifiedBy>
  <cp:revision>15</cp:revision>
  <cp:lastPrinted>2024-12-20T09:17:00Z</cp:lastPrinted>
  <dcterms:created xsi:type="dcterms:W3CDTF">2024-12-21T08:21:00Z</dcterms:created>
  <dcterms:modified xsi:type="dcterms:W3CDTF">2024-12-23T11:37:00Z</dcterms:modified>
</cp:coreProperties>
</file>